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68703" w14:textId="7837CE4E" w:rsidR="009312B4" w:rsidRPr="008049D2" w:rsidRDefault="006763C2" w:rsidP="00A6733C">
      <w:pPr>
        <w:pStyle w:val="Body"/>
        <w:spacing w:after="0"/>
        <w:ind w:left="720" w:firstLine="720"/>
        <w:jc w:val="left"/>
        <w:rPr>
          <w:rFonts w:ascii="Lato" w:eastAsiaTheme="minorEastAsia" w:hAnsi="Lato"/>
          <w:b/>
          <w:bCs/>
          <w:color w:val="002060"/>
          <w:kern w:val="0"/>
          <w:sz w:val="26"/>
          <w:szCs w:val="26"/>
          <w:lang w:eastAsia="zh-CN"/>
        </w:rPr>
      </w:pPr>
      <w:r w:rsidRPr="006763C2">
        <w:rPr>
          <w:rFonts w:ascii="Lato" w:eastAsiaTheme="minorEastAsia" w:hAnsi="Lato"/>
          <w:b/>
          <w:bCs/>
          <w:color w:val="002060"/>
          <w:kern w:val="0"/>
          <w:sz w:val="26"/>
          <w:szCs w:val="26"/>
          <w:lang w:eastAsia="zh-CN"/>
        </w:rPr>
        <w:t>PG IMPACT INVESTMENTS II (USD) S.C.A., SICAV-RAIF</w:t>
      </w:r>
    </w:p>
    <w:p w14:paraId="0D208F65" w14:textId="54A297C6" w:rsidR="00997221" w:rsidRDefault="006763C2" w:rsidP="00A6733C">
      <w:pPr>
        <w:pStyle w:val="Body"/>
        <w:spacing w:after="0"/>
        <w:jc w:val="left"/>
        <w:rPr>
          <w:rFonts w:ascii="Lato Light" w:hAnsi="Lato Light"/>
          <w:i/>
          <w:sz w:val="22"/>
          <w:szCs w:val="22"/>
          <w:lang w:val="fr-FR"/>
        </w:rPr>
      </w:pPr>
      <w:r w:rsidRPr="00997221" w:rsidDel="006763C2">
        <w:rPr>
          <w:rFonts w:ascii="Lato Light" w:hAnsi="Lato Light"/>
          <w:i/>
          <w:sz w:val="22"/>
          <w:szCs w:val="22"/>
        </w:rPr>
        <w:t xml:space="preserve"> </w:t>
      </w:r>
      <w:r w:rsidR="00997221">
        <w:rPr>
          <w:rFonts w:ascii="Lato Light" w:hAnsi="Lato Light"/>
          <w:i/>
          <w:sz w:val="22"/>
          <w:szCs w:val="22"/>
          <w:lang w:val="fr-FR"/>
        </w:rPr>
        <w:t>S</w:t>
      </w:r>
      <w:r w:rsidR="00997221" w:rsidRPr="00880AB9">
        <w:rPr>
          <w:rFonts w:ascii="Lato Light" w:hAnsi="Lato Light"/>
          <w:i/>
          <w:sz w:val="22"/>
          <w:szCs w:val="22"/>
          <w:lang w:val="fr-FR"/>
        </w:rPr>
        <w:t>ociété en commandite par actions</w:t>
      </w:r>
    </w:p>
    <w:p w14:paraId="0ED64619" w14:textId="1FEE1ECE" w:rsidR="009312B4" w:rsidRPr="006763C2" w:rsidRDefault="006763C2" w:rsidP="00A6733C">
      <w:pPr>
        <w:pStyle w:val="Body"/>
        <w:spacing w:after="0"/>
        <w:jc w:val="left"/>
        <w:rPr>
          <w:rFonts w:ascii="Lato Light" w:hAnsi="Lato Light"/>
          <w:i/>
          <w:sz w:val="22"/>
          <w:szCs w:val="22"/>
          <w:lang w:val="fr-FR"/>
        </w:rPr>
      </w:pPr>
      <w:r w:rsidRPr="006763C2">
        <w:rPr>
          <w:rFonts w:ascii="Lato Light" w:hAnsi="Lato Light"/>
          <w:i/>
          <w:sz w:val="22"/>
          <w:szCs w:val="22"/>
          <w:lang w:val="fr-FR"/>
        </w:rPr>
        <w:t>Société d'investissement à capital variable – fonds d’investissement alternatif réservé</w:t>
      </w:r>
    </w:p>
    <w:p w14:paraId="4D4BF5E9" w14:textId="733C2A83" w:rsidR="009312B4" w:rsidRPr="002A1E9A" w:rsidRDefault="009312B4" w:rsidP="00A6733C">
      <w:pPr>
        <w:pStyle w:val="Body"/>
        <w:spacing w:after="0"/>
        <w:jc w:val="left"/>
        <w:rPr>
          <w:rFonts w:ascii="Lato Light" w:hAnsi="Lato Light" w:cs="Arial"/>
          <w:sz w:val="22"/>
          <w:szCs w:val="22"/>
          <w:lang w:val="fr-FR"/>
        </w:rPr>
      </w:pPr>
      <w:r w:rsidRPr="002A1E9A">
        <w:rPr>
          <w:rFonts w:ascii="Lato Light" w:hAnsi="Lato Light"/>
          <w:sz w:val="22"/>
          <w:szCs w:val="22"/>
          <w:lang w:val="fr-FR"/>
        </w:rPr>
        <w:t xml:space="preserve">Registered </w:t>
      </w:r>
      <w:proofErr w:type="gramStart"/>
      <w:r w:rsidRPr="002A1E9A">
        <w:rPr>
          <w:rFonts w:ascii="Lato Light" w:hAnsi="Lato Light"/>
          <w:sz w:val="22"/>
          <w:szCs w:val="22"/>
          <w:lang w:val="fr-FR"/>
        </w:rPr>
        <w:t>office:</w:t>
      </w:r>
      <w:proofErr w:type="gramEnd"/>
      <w:r w:rsidRPr="002A1E9A">
        <w:rPr>
          <w:rFonts w:ascii="Lato Light" w:hAnsi="Lato Light"/>
          <w:sz w:val="22"/>
          <w:szCs w:val="22"/>
          <w:lang w:val="fr-FR"/>
        </w:rPr>
        <w:t> </w:t>
      </w:r>
      <w:r w:rsidR="006763C2" w:rsidRPr="002A1E9A" w:rsidDel="006763C2">
        <w:rPr>
          <w:rFonts w:ascii="Lato Light" w:hAnsi="Lato Light" w:cs="Arial"/>
          <w:sz w:val="22"/>
          <w:szCs w:val="22"/>
          <w:lang w:val="fr-FR"/>
        </w:rPr>
        <w:t xml:space="preserve"> </w:t>
      </w:r>
      <w:r w:rsidR="006763C2" w:rsidRPr="002A1E9A">
        <w:rPr>
          <w:rFonts w:ascii="Lato Light" w:hAnsi="Lato Light" w:cs="Arial"/>
          <w:sz w:val="22"/>
          <w:szCs w:val="22"/>
          <w:lang w:val="fr-FR"/>
        </w:rPr>
        <w:t xml:space="preserve">15, Boulevard F.W. Raiffeisen, </w:t>
      </w:r>
      <w:r w:rsidR="006763C2" w:rsidRPr="002A1E9A">
        <w:rPr>
          <w:rFonts w:ascii="Lato Light" w:hAnsi="Lato Light"/>
          <w:sz w:val="22"/>
          <w:szCs w:val="22"/>
          <w:lang w:val="fr-FR"/>
        </w:rPr>
        <w:t>L-2411 Luxembourg</w:t>
      </w:r>
    </w:p>
    <w:p w14:paraId="7625DAC3" w14:textId="77777777" w:rsidR="009312B4" w:rsidRPr="002A1E9A" w:rsidRDefault="009312B4" w:rsidP="00A6733C">
      <w:pPr>
        <w:pStyle w:val="Body"/>
        <w:spacing w:after="0"/>
        <w:jc w:val="left"/>
        <w:rPr>
          <w:rFonts w:ascii="Lato Light" w:hAnsi="Lato Light"/>
          <w:sz w:val="22"/>
          <w:szCs w:val="22"/>
          <w:lang w:val="fr-FR"/>
        </w:rPr>
      </w:pPr>
      <w:r w:rsidRPr="002A1E9A">
        <w:rPr>
          <w:rFonts w:ascii="Lato Light" w:hAnsi="Lato Light" w:cs="Arial"/>
          <w:sz w:val="22"/>
          <w:szCs w:val="22"/>
          <w:lang w:val="fr-FR"/>
        </w:rPr>
        <w:t>Grand-</w:t>
      </w:r>
      <w:proofErr w:type="spellStart"/>
      <w:r w:rsidRPr="002A1E9A">
        <w:rPr>
          <w:rFonts w:ascii="Lato Light" w:hAnsi="Lato Light" w:cs="Arial"/>
          <w:sz w:val="22"/>
          <w:szCs w:val="22"/>
          <w:lang w:val="fr-FR"/>
        </w:rPr>
        <w:t>Duchy</w:t>
      </w:r>
      <w:proofErr w:type="spellEnd"/>
      <w:r w:rsidRPr="002A1E9A">
        <w:rPr>
          <w:rFonts w:ascii="Lato Light" w:hAnsi="Lato Light" w:cs="Arial"/>
          <w:sz w:val="22"/>
          <w:szCs w:val="22"/>
          <w:lang w:val="fr-FR"/>
        </w:rPr>
        <w:t xml:space="preserve"> of Luxembourg</w:t>
      </w:r>
    </w:p>
    <w:p w14:paraId="254652FE" w14:textId="355F1E89" w:rsidR="009312B4" w:rsidRPr="006F3874" w:rsidRDefault="009312B4" w:rsidP="00A6733C">
      <w:pPr>
        <w:pStyle w:val="Body"/>
        <w:spacing w:after="0"/>
        <w:jc w:val="left"/>
        <w:rPr>
          <w:rFonts w:ascii="Lato Light" w:hAnsi="Lato Light"/>
          <w:sz w:val="22"/>
          <w:szCs w:val="22"/>
        </w:rPr>
      </w:pPr>
      <w:r w:rsidRPr="006F3874">
        <w:rPr>
          <w:rFonts w:ascii="Lato Light" w:hAnsi="Lato Light"/>
          <w:sz w:val="22"/>
          <w:szCs w:val="22"/>
        </w:rPr>
        <w:t>R.C.S. Luxembourg: </w:t>
      </w:r>
      <w:r w:rsidR="006763C2" w:rsidRPr="006F3874">
        <w:rPr>
          <w:rFonts w:ascii="Lato Light" w:hAnsi="Lato Light"/>
          <w:sz w:val="22"/>
          <w:szCs w:val="22"/>
        </w:rPr>
        <w:t>B236670</w:t>
      </w:r>
    </w:p>
    <w:p w14:paraId="15EAA056" w14:textId="77777777" w:rsidR="009312B4" w:rsidRPr="008049D2" w:rsidRDefault="009312B4" w:rsidP="00A6733C">
      <w:pPr>
        <w:pStyle w:val="Body"/>
        <w:spacing w:after="0"/>
        <w:jc w:val="left"/>
        <w:rPr>
          <w:rFonts w:ascii="Lato Light" w:hAnsi="Lato Light"/>
          <w:sz w:val="22"/>
          <w:szCs w:val="22"/>
        </w:rPr>
      </w:pPr>
      <w:r w:rsidRPr="008049D2">
        <w:rPr>
          <w:rFonts w:ascii="Lato Light" w:hAnsi="Lato Light"/>
          <w:sz w:val="22"/>
          <w:szCs w:val="22"/>
        </w:rPr>
        <w:t>(the “</w:t>
      </w:r>
      <w:r w:rsidRPr="008049D2">
        <w:rPr>
          <w:rFonts w:ascii="Lato Light" w:hAnsi="Lato Light"/>
          <w:b/>
          <w:sz w:val="22"/>
          <w:szCs w:val="22"/>
        </w:rPr>
        <w:t>Fund</w:t>
      </w:r>
      <w:r w:rsidRPr="008049D2">
        <w:rPr>
          <w:rFonts w:ascii="Lato Light" w:hAnsi="Lato Light"/>
          <w:sz w:val="22"/>
          <w:szCs w:val="22"/>
        </w:rPr>
        <w:t>”)</w:t>
      </w:r>
    </w:p>
    <w:p w14:paraId="6515B059" w14:textId="4DED3DDF" w:rsidR="009312B4" w:rsidRPr="008049D2" w:rsidRDefault="009312B4" w:rsidP="00A6733C">
      <w:pPr>
        <w:spacing w:after="0"/>
        <w:rPr>
          <w:sz w:val="22"/>
          <w:szCs w:val="22"/>
          <w:lang w:val="en-GB"/>
        </w:rPr>
      </w:pPr>
    </w:p>
    <w:p w14:paraId="0C1B2D83" w14:textId="2BA7CEF5" w:rsidR="009312B4" w:rsidRPr="008049D2" w:rsidRDefault="00BE63D4" w:rsidP="00A6733C">
      <w:pPr>
        <w:spacing w:after="0"/>
        <w:jc w:val="center"/>
        <w:rPr>
          <w:b/>
          <w:bCs/>
          <w:sz w:val="24"/>
          <w:lang w:val="en-GB"/>
        </w:rPr>
      </w:pPr>
      <w:r w:rsidRPr="008049D2">
        <w:rPr>
          <w:b/>
          <w:bCs/>
          <w:sz w:val="24"/>
          <w:lang w:val="en-GB"/>
        </w:rPr>
        <w:t>Sustainability related disclosures</w:t>
      </w:r>
      <w:r w:rsidR="0096779F" w:rsidRPr="008049D2">
        <w:rPr>
          <w:b/>
          <w:bCs/>
          <w:sz w:val="24"/>
          <w:lang w:val="en-GB"/>
        </w:rPr>
        <w:t xml:space="preserve"> required for Article 8 funds under </w:t>
      </w:r>
      <w:r w:rsidR="00072092">
        <w:rPr>
          <w:b/>
          <w:bCs/>
          <w:sz w:val="24"/>
          <w:lang w:val="en-GB"/>
        </w:rPr>
        <w:t>SFDR</w:t>
      </w:r>
    </w:p>
    <w:p w14:paraId="6ECC596B" w14:textId="77777777" w:rsidR="00BE63D4" w:rsidRPr="008049D2" w:rsidRDefault="00BE63D4" w:rsidP="00A6733C">
      <w:pPr>
        <w:spacing w:after="0"/>
        <w:jc w:val="both"/>
        <w:rPr>
          <w:b/>
          <w:bCs/>
          <w:sz w:val="24"/>
          <w:lang w:val="en-GB"/>
        </w:rPr>
      </w:pPr>
    </w:p>
    <w:p w14:paraId="09ADB2A4" w14:textId="6283B03B" w:rsidR="009312B4" w:rsidRPr="008049D2" w:rsidRDefault="009312B4" w:rsidP="00A6733C">
      <w:pPr>
        <w:pStyle w:val="Heading1"/>
        <w:numPr>
          <w:ilvl w:val="0"/>
          <w:numId w:val="26"/>
        </w:numPr>
        <w:spacing w:after="0"/>
        <w:ind w:left="709"/>
        <w:rPr>
          <w:sz w:val="22"/>
          <w:szCs w:val="22"/>
          <w:lang w:val="en-GB"/>
        </w:rPr>
      </w:pPr>
      <w:r w:rsidRPr="008049D2">
        <w:rPr>
          <w:sz w:val="22"/>
          <w:szCs w:val="22"/>
          <w:lang w:val="en-GB"/>
        </w:rPr>
        <w:t>Summ</w:t>
      </w:r>
      <w:r w:rsidR="00366B77" w:rsidRPr="008049D2">
        <w:rPr>
          <w:sz w:val="22"/>
          <w:szCs w:val="22"/>
          <w:lang w:val="en-GB"/>
        </w:rPr>
        <w:t>a</w:t>
      </w:r>
      <w:r w:rsidRPr="008049D2">
        <w:rPr>
          <w:sz w:val="22"/>
          <w:szCs w:val="22"/>
          <w:lang w:val="en-GB"/>
        </w:rPr>
        <w:t xml:space="preserve">ry </w:t>
      </w:r>
    </w:p>
    <w:p w14:paraId="03A6005B" w14:textId="04385792" w:rsidR="00A46179" w:rsidRDefault="00CB20D1" w:rsidP="00A6733C">
      <w:pPr>
        <w:pStyle w:val="ListParagraph"/>
        <w:spacing w:after="0" w:line="276" w:lineRule="auto"/>
        <w:ind w:left="0"/>
        <w:jc w:val="both"/>
        <w:rPr>
          <w:sz w:val="22"/>
          <w:szCs w:val="22"/>
          <w:lang w:val="en-GB"/>
        </w:rPr>
      </w:pPr>
      <w:r w:rsidRPr="008049D2">
        <w:rPr>
          <w:sz w:val="22"/>
          <w:szCs w:val="22"/>
          <w:lang w:val="en-GB"/>
        </w:rPr>
        <w:t>The Regulation (EU) 2019/2088 of the European Parliament and of the Council of 27 November 2019 on sustainability-related disclosures in the financial services sector</w:t>
      </w:r>
      <w:r w:rsidR="00072092">
        <w:rPr>
          <w:sz w:val="22"/>
          <w:szCs w:val="22"/>
          <w:lang w:val="en-GB"/>
        </w:rPr>
        <w:t xml:space="preserve"> (the “</w:t>
      </w:r>
      <w:r w:rsidR="00072092" w:rsidRPr="000B5D4D">
        <w:rPr>
          <w:b/>
          <w:bCs/>
          <w:sz w:val="22"/>
          <w:szCs w:val="22"/>
          <w:lang w:val="en-GB"/>
        </w:rPr>
        <w:t>SFDR</w:t>
      </w:r>
      <w:r w:rsidR="00072092">
        <w:rPr>
          <w:sz w:val="22"/>
          <w:szCs w:val="22"/>
          <w:lang w:val="en-GB"/>
        </w:rPr>
        <w:t xml:space="preserve">”) and the </w:t>
      </w:r>
      <w:r w:rsidR="00072092" w:rsidRPr="00D53EFD">
        <w:rPr>
          <w:sz w:val="22"/>
          <w:szCs w:val="22"/>
          <w:lang w:val="en-GB"/>
        </w:rPr>
        <w:t>Regulation</w:t>
      </w:r>
      <w:r w:rsidR="00072092">
        <w:rPr>
          <w:sz w:val="22"/>
          <w:szCs w:val="22"/>
          <w:lang w:val="en-GB"/>
        </w:rPr>
        <w:t xml:space="preserve"> (EU)</w:t>
      </w:r>
      <w:r w:rsidR="00072092" w:rsidRPr="00D53EFD">
        <w:rPr>
          <w:sz w:val="22"/>
          <w:szCs w:val="22"/>
          <w:lang w:val="en-GB"/>
        </w:rPr>
        <w:t xml:space="preserve"> 2020/852 on the establishment of a framework to facilitate sustainable investment and amending EU Regulation 2019/2088 </w:t>
      </w:r>
      <w:r w:rsidR="00072092">
        <w:rPr>
          <w:sz w:val="22"/>
          <w:szCs w:val="22"/>
          <w:lang w:val="en-GB"/>
        </w:rPr>
        <w:t>(the “</w:t>
      </w:r>
      <w:r w:rsidR="00072092" w:rsidRPr="000B5D4D">
        <w:rPr>
          <w:b/>
          <w:bCs/>
          <w:sz w:val="22"/>
          <w:szCs w:val="22"/>
          <w:lang w:val="en-GB"/>
        </w:rPr>
        <w:t>Taxonomy Regulation</w:t>
      </w:r>
      <w:r w:rsidR="00072092">
        <w:rPr>
          <w:sz w:val="22"/>
          <w:szCs w:val="22"/>
          <w:lang w:val="en-GB"/>
        </w:rPr>
        <w:t xml:space="preserve">”) </w:t>
      </w:r>
      <w:r w:rsidR="00072092" w:rsidRPr="008049D2">
        <w:rPr>
          <w:sz w:val="22"/>
          <w:szCs w:val="22"/>
          <w:lang w:val="en-GB"/>
        </w:rPr>
        <w:t>(</w:t>
      </w:r>
      <w:r w:rsidR="00072092">
        <w:rPr>
          <w:sz w:val="22"/>
          <w:szCs w:val="22"/>
          <w:lang w:val="en-GB"/>
        </w:rPr>
        <w:t>together</w:t>
      </w:r>
      <w:r w:rsidR="00DF232A">
        <w:rPr>
          <w:sz w:val="22"/>
          <w:szCs w:val="22"/>
          <w:lang w:val="en-GB"/>
        </w:rPr>
        <w:t xml:space="preserve"> </w:t>
      </w:r>
      <w:proofErr w:type="spellStart"/>
      <w:r w:rsidRPr="008049D2">
        <w:rPr>
          <w:sz w:val="22"/>
          <w:szCs w:val="22"/>
          <w:lang w:val="en-GB"/>
        </w:rPr>
        <w:t>the“</w:t>
      </w:r>
      <w:r w:rsidRPr="00681F53">
        <w:rPr>
          <w:b/>
          <w:bCs/>
          <w:sz w:val="22"/>
          <w:szCs w:val="22"/>
          <w:lang w:val="en-GB"/>
        </w:rPr>
        <w:t>Disclosure</w:t>
      </w:r>
      <w:proofErr w:type="spellEnd"/>
      <w:r w:rsidRPr="00681F53">
        <w:rPr>
          <w:b/>
          <w:bCs/>
          <w:sz w:val="22"/>
          <w:szCs w:val="22"/>
          <w:lang w:val="en-GB"/>
        </w:rPr>
        <w:t xml:space="preserve"> Regulation</w:t>
      </w:r>
      <w:r w:rsidR="00072092">
        <w:rPr>
          <w:b/>
          <w:bCs/>
          <w:sz w:val="22"/>
          <w:szCs w:val="22"/>
          <w:lang w:val="en-GB"/>
        </w:rPr>
        <w:t>s</w:t>
      </w:r>
      <w:r w:rsidRPr="008049D2">
        <w:rPr>
          <w:sz w:val="22"/>
          <w:szCs w:val="22"/>
          <w:lang w:val="en-GB"/>
        </w:rPr>
        <w:t xml:space="preserve">”) </w:t>
      </w:r>
      <w:r w:rsidR="00A46179" w:rsidRPr="008049D2">
        <w:rPr>
          <w:sz w:val="22"/>
          <w:szCs w:val="22"/>
          <w:lang w:val="en-GB"/>
        </w:rPr>
        <w:t>aim at providing more transparency to investors on sustainability risk integration, on the consideration of adverse sustainability impacts in the investment processes and on the promotion of environmental, social and/or governance (“</w:t>
      </w:r>
      <w:r w:rsidR="00A46179" w:rsidRPr="00681F53">
        <w:rPr>
          <w:b/>
          <w:bCs/>
          <w:sz w:val="22"/>
          <w:szCs w:val="22"/>
          <w:lang w:val="en-GB"/>
        </w:rPr>
        <w:t>ESG</w:t>
      </w:r>
      <w:r w:rsidR="00A46179" w:rsidRPr="008049D2">
        <w:rPr>
          <w:sz w:val="22"/>
          <w:szCs w:val="22"/>
          <w:lang w:val="en-GB"/>
        </w:rPr>
        <w:t>”) factors. In particular, it requires fund managers and advisers to disclose specific ESG-related information to investors on their websites.</w:t>
      </w:r>
      <w:r w:rsidRPr="008049D2">
        <w:rPr>
          <w:sz w:val="22"/>
          <w:szCs w:val="22"/>
          <w:lang w:val="en-GB"/>
        </w:rPr>
        <w:t xml:space="preserve"> </w:t>
      </w:r>
    </w:p>
    <w:p w14:paraId="69525E75" w14:textId="77777777" w:rsidR="00681F53" w:rsidRPr="008049D2" w:rsidRDefault="00681F53" w:rsidP="00A6733C">
      <w:pPr>
        <w:pStyle w:val="ListParagraph"/>
        <w:spacing w:after="0" w:line="276" w:lineRule="auto"/>
        <w:ind w:left="0"/>
        <w:jc w:val="both"/>
        <w:rPr>
          <w:sz w:val="22"/>
          <w:szCs w:val="22"/>
          <w:lang w:val="en-GB"/>
        </w:rPr>
      </w:pPr>
    </w:p>
    <w:p w14:paraId="7789912E" w14:textId="4FEA035F" w:rsidR="00CB20D1" w:rsidRDefault="00CB20D1" w:rsidP="00A6733C">
      <w:pPr>
        <w:pStyle w:val="ListParagraph"/>
        <w:spacing w:after="0" w:line="276" w:lineRule="auto"/>
        <w:ind w:left="0"/>
        <w:jc w:val="both"/>
        <w:rPr>
          <w:sz w:val="22"/>
          <w:szCs w:val="22"/>
          <w:lang w:val="en-GB"/>
        </w:rPr>
      </w:pPr>
      <w:r w:rsidRPr="008049D2">
        <w:rPr>
          <w:sz w:val="22"/>
          <w:szCs w:val="22"/>
          <w:lang w:val="en-GB"/>
        </w:rPr>
        <w:t>The Disclosure Regulation</w:t>
      </w:r>
      <w:r w:rsidR="00DB4DFD">
        <w:rPr>
          <w:sz w:val="22"/>
          <w:szCs w:val="22"/>
          <w:lang w:val="en-GB"/>
        </w:rPr>
        <w:t>s</w:t>
      </w:r>
      <w:r w:rsidRPr="008049D2">
        <w:rPr>
          <w:sz w:val="22"/>
          <w:szCs w:val="22"/>
          <w:lang w:val="en-GB"/>
        </w:rPr>
        <w:t xml:space="preserve"> </w:t>
      </w:r>
      <w:r w:rsidR="00230A43">
        <w:rPr>
          <w:sz w:val="22"/>
          <w:szCs w:val="22"/>
          <w:lang w:val="en-GB"/>
        </w:rPr>
        <w:t>has been</w:t>
      </w:r>
      <w:r w:rsidRPr="008049D2">
        <w:rPr>
          <w:sz w:val="22"/>
          <w:szCs w:val="22"/>
          <w:lang w:val="en-GB"/>
        </w:rPr>
        <w:t xml:space="preserve"> complemented by the EU implementing measures (so-called regulatory and technical standards or “</w:t>
      </w:r>
      <w:r w:rsidRPr="00681F53">
        <w:rPr>
          <w:b/>
          <w:bCs/>
          <w:sz w:val="22"/>
          <w:szCs w:val="22"/>
          <w:lang w:val="en-GB"/>
        </w:rPr>
        <w:t>RTS</w:t>
      </w:r>
      <w:r w:rsidRPr="008049D2">
        <w:rPr>
          <w:sz w:val="22"/>
          <w:szCs w:val="22"/>
          <w:lang w:val="en-GB"/>
        </w:rPr>
        <w:t>”),</w:t>
      </w:r>
      <w:r w:rsidR="00692467">
        <w:rPr>
          <w:sz w:val="22"/>
          <w:szCs w:val="22"/>
          <w:lang w:val="en-GB"/>
        </w:rPr>
        <w:t xml:space="preserve"> as applicable from time to time.</w:t>
      </w:r>
    </w:p>
    <w:p w14:paraId="422E7F39" w14:textId="77777777" w:rsidR="00681F53" w:rsidRPr="008049D2" w:rsidRDefault="00681F53" w:rsidP="00A6733C">
      <w:pPr>
        <w:pStyle w:val="ListParagraph"/>
        <w:spacing w:after="0" w:line="276" w:lineRule="auto"/>
        <w:ind w:left="0"/>
        <w:jc w:val="both"/>
        <w:rPr>
          <w:sz w:val="22"/>
          <w:szCs w:val="22"/>
          <w:lang w:val="en-GB"/>
        </w:rPr>
      </w:pPr>
    </w:p>
    <w:p w14:paraId="3B0858BC" w14:textId="4D8452D7" w:rsidR="001178F9" w:rsidRDefault="00EC3EB9" w:rsidP="00A6733C">
      <w:pPr>
        <w:pStyle w:val="ListParagraph"/>
        <w:spacing w:after="0" w:line="276" w:lineRule="auto"/>
        <w:ind w:left="0"/>
        <w:jc w:val="both"/>
        <w:rPr>
          <w:sz w:val="22"/>
          <w:szCs w:val="22"/>
          <w:lang w:val="en-GB"/>
        </w:rPr>
      </w:pPr>
      <w:r w:rsidRPr="00EC3EB9">
        <w:rPr>
          <w:sz w:val="22"/>
          <w:szCs w:val="22"/>
          <w:lang w:val="en-GB"/>
        </w:rPr>
        <w:t>PG IMPACT INVESTMENTS II (USD) S.C.A., SICAV-RAIF</w:t>
      </w:r>
      <w:r w:rsidR="00366B77" w:rsidRPr="008049D2">
        <w:rPr>
          <w:sz w:val="22"/>
          <w:szCs w:val="22"/>
          <w:lang w:val="en-GB"/>
        </w:rPr>
        <w:t xml:space="preserve"> </w:t>
      </w:r>
      <w:r w:rsidR="001D2EE2" w:rsidRPr="008049D2">
        <w:rPr>
          <w:sz w:val="22"/>
          <w:szCs w:val="22"/>
          <w:lang w:val="en-GB"/>
        </w:rPr>
        <w:t>(the “</w:t>
      </w:r>
      <w:r w:rsidR="001D2EE2" w:rsidRPr="008049D2">
        <w:rPr>
          <w:b/>
          <w:bCs/>
          <w:sz w:val="22"/>
          <w:szCs w:val="22"/>
          <w:lang w:val="en-GB"/>
        </w:rPr>
        <w:t>Fund</w:t>
      </w:r>
      <w:r w:rsidR="001D2EE2" w:rsidRPr="008049D2">
        <w:rPr>
          <w:sz w:val="22"/>
          <w:szCs w:val="22"/>
          <w:lang w:val="en-GB"/>
        </w:rPr>
        <w:t xml:space="preserve">”) </w:t>
      </w:r>
      <w:r w:rsidR="00366B77" w:rsidRPr="008049D2">
        <w:rPr>
          <w:sz w:val="22"/>
          <w:szCs w:val="22"/>
          <w:lang w:val="en-GB"/>
        </w:rPr>
        <w:t xml:space="preserve">is being formed to invest in </w:t>
      </w:r>
      <w:r w:rsidR="00366B77" w:rsidRPr="00866466">
        <w:rPr>
          <w:sz w:val="22"/>
          <w:szCs w:val="22"/>
          <w:lang w:val="en-GB"/>
        </w:rPr>
        <w:t>private equity</w:t>
      </w:r>
      <w:r w:rsidR="00866466" w:rsidRPr="00866466">
        <w:rPr>
          <w:sz w:val="22"/>
          <w:szCs w:val="22"/>
          <w:lang w:val="en-GB"/>
        </w:rPr>
        <w:t xml:space="preserve"> and </w:t>
      </w:r>
      <w:r w:rsidR="00366B77" w:rsidRPr="00866466">
        <w:rPr>
          <w:sz w:val="22"/>
          <w:szCs w:val="22"/>
          <w:lang w:val="en-GB"/>
        </w:rPr>
        <w:t>private debt</w:t>
      </w:r>
      <w:r w:rsidR="00866466">
        <w:rPr>
          <w:sz w:val="22"/>
          <w:szCs w:val="22"/>
          <w:lang w:val="en-GB"/>
        </w:rPr>
        <w:t>.</w:t>
      </w:r>
      <w:r w:rsidR="00366B77" w:rsidRPr="008049D2">
        <w:rPr>
          <w:sz w:val="22"/>
          <w:szCs w:val="22"/>
          <w:lang w:val="en-GB"/>
        </w:rPr>
        <w:t xml:space="preserve"> </w:t>
      </w:r>
      <w:r w:rsidR="007D2983" w:rsidRPr="008049D2">
        <w:rPr>
          <w:sz w:val="22"/>
          <w:szCs w:val="22"/>
          <w:lang w:val="en-GB"/>
        </w:rPr>
        <w:t xml:space="preserve">The Fund is managed by its alternative investment fund manager, </w:t>
      </w:r>
      <w:r w:rsidR="00682A5C" w:rsidRPr="00682A5C">
        <w:rPr>
          <w:sz w:val="22"/>
          <w:szCs w:val="22"/>
          <w:lang w:val="en-GB"/>
        </w:rPr>
        <w:t>Alter Domus Management Company S.A.</w:t>
      </w:r>
      <w:r w:rsidR="007D2983" w:rsidRPr="008049D2">
        <w:rPr>
          <w:sz w:val="22"/>
          <w:szCs w:val="22"/>
          <w:lang w:val="en-GB"/>
        </w:rPr>
        <w:t>. (the “</w:t>
      </w:r>
      <w:r w:rsidR="007D2983" w:rsidRPr="008049D2">
        <w:rPr>
          <w:b/>
          <w:bCs/>
          <w:sz w:val="22"/>
          <w:szCs w:val="22"/>
          <w:lang w:val="en-GB"/>
        </w:rPr>
        <w:t>Manager</w:t>
      </w:r>
      <w:r w:rsidR="007D2983" w:rsidRPr="008049D2">
        <w:rPr>
          <w:sz w:val="22"/>
          <w:szCs w:val="22"/>
          <w:lang w:val="en-GB"/>
        </w:rPr>
        <w:t xml:space="preserve">”). </w:t>
      </w:r>
      <w:bookmarkStart w:id="0" w:name="_Hlk65770940"/>
      <w:r w:rsidR="002C6401">
        <w:rPr>
          <w:sz w:val="22"/>
          <w:szCs w:val="22"/>
          <w:lang w:val="en-GB"/>
        </w:rPr>
        <w:t>Blue Earth Capital AG (previously known as</w:t>
      </w:r>
      <w:r w:rsidR="002C6401" w:rsidRPr="00BE7D83">
        <w:rPr>
          <w:sz w:val="22"/>
          <w:szCs w:val="22"/>
          <w:lang w:val="en-GB"/>
        </w:rPr>
        <w:t xml:space="preserve"> </w:t>
      </w:r>
      <w:r w:rsidR="00681F53" w:rsidRPr="00BE7D83">
        <w:rPr>
          <w:sz w:val="22"/>
          <w:szCs w:val="22"/>
          <w:lang w:val="en-GB"/>
        </w:rPr>
        <w:t>PG Impact Investments AG</w:t>
      </w:r>
      <w:r w:rsidR="002C6401">
        <w:rPr>
          <w:sz w:val="22"/>
          <w:szCs w:val="22"/>
          <w:lang w:val="en-GB"/>
        </w:rPr>
        <w:t>)</w:t>
      </w:r>
      <w:r w:rsidR="00681F53" w:rsidRPr="00BE7D83">
        <w:rPr>
          <w:sz w:val="22"/>
          <w:szCs w:val="22"/>
          <w:lang w:val="en-GB"/>
        </w:rPr>
        <w:t xml:space="preserve"> acts in the capacity as Adviser to the Manager. The </w:t>
      </w:r>
      <w:r w:rsidR="00681F53">
        <w:rPr>
          <w:sz w:val="22"/>
          <w:szCs w:val="22"/>
          <w:lang w:val="en-GB"/>
        </w:rPr>
        <w:t xml:space="preserve">below </w:t>
      </w:r>
      <w:r w:rsidR="00681F53" w:rsidRPr="00BE7D83">
        <w:rPr>
          <w:sz w:val="22"/>
          <w:szCs w:val="22"/>
          <w:lang w:val="en-GB"/>
        </w:rPr>
        <w:t>information from the Manager is based on the consultation, information and recommendations received from the Adviser.</w:t>
      </w:r>
      <w:r w:rsidR="00681F53">
        <w:rPr>
          <w:sz w:val="22"/>
          <w:szCs w:val="22"/>
          <w:lang w:val="en-GB"/>
        </w:rPr>
        <w:t xml:space="preserve"> </w:t>
      </w:r>
      <w:bookmarkEnd w:id="0"/>
      <w:r w:rsidR="00366B77" w:rsidRPr="008049D2">
        <w:rPr>
          <w:sz w:val="22"/>
          <w:szCs w:val="22"/>
          <w:lang w:val="en-GB"/>
        </w:rPr>
        <w:t>The Manager</w:t>
      </w:r>
      <w:r w:rsidR="00BE7D83">
        <w:rPr>
          <w:sz w:val="22"/>
          <w:szCs w:val="22"/>
          <w:lang w:val="en-GB"/>
        </w:rPr>
        <w:t xml:space="preserve"> </w:t>
      </w:r>
      <w:r w:rsidR="001178F9" w:rsidRPr="001178F9">
        <w:rPr>
          <w:sz w:val="22"/>
          <w:szCs w:val="22"/>
          <w:lang w:val="en-GB"/>
        </w:rPr>
        <w:t xml:space="preserve">is committed to investing in a responsible way by actively integrating </w:t>
      </w:r>
      <w:r w:rsidR="00BD038B">
        <w:rPr>
          <w:sz w:val="22"/>
          <w:szCs w:val="22"/>
          <w:lang w:val="en-GB"/>
        </w:rPr>
        <w:t xml:space="preserve">ESG </w:t>
      </w:r>
      <w:r w:rsidR="001178F9" w:rsidRPr="001178F9">
        <w:rPr>
          <w:sz w:val="22"/>
          <w:szCs w:val="22"/>
          <w:lang w:val="en-GB"/>
        </w:rPr>
        <w:t>considerations in its investment selection and ongoing monitoring process</w:t>
      </w:r>
      <w:r w:rsidR="00CD2D54">
        <w:rPr>
          <w:sz w:val="22"/>
          <w:szCs w:val="22"/>
          <w:lang w:val="en-GB"/>
        </w:rPr>
        <w:t>.</w:t>
      </w:r>
    </w:p>
    <w:p w14:paraId="2CC8B7DF" w14:textId="77777777" w:rsidR="00BE7D83" w:rsidRDefault="00BE7D83" w:rsidP="00A6733C">
      <w:pPr>
        <w:pStyle w:val="ListParagraph"/>
        <w:spacing w:after="0" w:line="276" w:lineRule="auto"/>
        <w:ind w:left="0"/>
        <w:jc w:val="both"/>
        <w:rPr>
          <w:sz w:val="22"/>
          <w:szCs w:val="22"/>
          <w:lang w:val="en-GB"/>
        </w:rPr>
      </w:pPr>
    </w:p>
    <w:p w14:paraId="553EF339" w14:textId="216B7EF0" w:rsidR="001178F9" w:rsidRDefault="00A621D8" w:rsidP="00A6733C">
      <w:pPr>
        <w:pStyle w:val="ListParagraph"/>
        <w:spacing w:after="0" w:line="276" w:lineRule="auto"/>
        <w:ind w:left="0"/>
        <w:jc w:val="both"/>
        <w:rPr>
          <w:sz w:val="22"/>
          <w:szCs w:val="22"/>
          <w:lang w:val="en-GB"/>
        </w:rPr>
      </w:pPr>
      <w:r>
        <w:rPr>
          <w:sz w:val="22"/>
          <w:szCs w:val="22"/>
          <w:lang w:val="en-GB"/>
        </w:rPr>
        <w:t xml:space="preserve">The Fund </w:t>
      </w:r>
      <w:r w:rsidRPr="00A621D8">
        <w:rPr>
          <w:sz w:val="22"/>
          <w:szCs w:val="22"/>
          <w:lang w:val="en-GB"/>
        </w:rPr>
        <w:t xml:space="preserve">promotes environmental or social </w:t>
      </w:r>
      <w:proofErr w:type="gramStart"/>
      <w:r w:rsidRPr="00A621D8">
        <w:rPr>
          <w:sz w:val="22"/>
          <w:szCs w:val="22"/>
          <w:lang w:val="en-GB"/>
        </w:rPr>
        <w:t>characteristics, but</w:t>
      </w:r>
      <w:proofErr w:type="gramEnd"/>
      <w:r w:rsidRPr="00A621D8">
        <w:rPr>
          <w:sz w:val="22"/>
          <w:szCs w:val="22"/>
          <w:lang w:val="en-GB"/>
        </w:rPr>
        <w:t xml:space="preserve"> does not have as its objective a sustainable investment</w:t>
      </w:r>
      <w:r>
        <w:rPr>
          <w:sz w:val="22"/>
          <w:szCs w:val="22"/>
          <w:lang w:val="en-GB"/>
        </w:rPr>
        <w:t>.</w:t>
      </w:r>
      <w:r w:rsidRPr="00A621D8">
        <w:rPr>
          <w:sz w:val="22"/>
          <w:szCs w:val="22"/>
          <w:lang w:val="en-GB"/>
        </w:rPr>
        <w:t xml:space="preserve"> </w:t>
      </w:r>
      <w:r w:rsidR="001178F9" w:rsidRPr="001178F9">
        <w:rPr>
          <w:sz w:val="22"/>
          <w:szCs w:val="22"/>
          <w:lang w:val="en-GB"/>
        </w:rPr>
        <w:t xml:space="preserve">The Fund will not at this stage consider principal adverse sustainability </w:t>
      </w:r>
      <w:r w:rsidR="001178F9" w:rsidRPr="006F3874">
        <w:rPr>
          <w:sz w:val="22"/>
          <w:szCs w:val="22"/>
          <w:lang w:val="en-GB"/>
        </w:rPr>
        <w:t xml:space="preserve">impacts as defined in </w:t>
      </w:r>
      <w:r w:rsidR="00072092">
        <w:rPr>
          <w:sz w:val="22"/>
          <w:szCs w:val="22"/>
          <w:lang w:val="en-GB"/>
        </w:rPr>
        <w:t>SFDR</w:t>
      </w:r>
      <w:r w:rsidR="001178F9" w:rsidRPr="006F3874">
        <w:rPr>
          <w:sz w:val="22"/>
          <w:szCs w:val="22"/>
          <w:lang w:val="en-GB"/>
        </w:rPr>
        <w:t xml:space="preserve"> but </w:t>
      </w:r>
      <w:bookmarkStart w:id="1" w:name="_Hlk65770764"/>
      <w:r w:rsidR="00FD70CB" w:rsidRPr="00FD70CB">
        <w:rPr>
          <w:sz w:val="22"/>
          <w:szCs w:val="22"/>
          <w:lang w:val="en-GB"/>
        </w:rPr>
        <w:t>follows a comprehensive impact</w:t>
      </w:r>
      <w:r w:rsidR="002B784C" w:rsidRPr="002B784C">
        <w:rPr>
          <w:sz w:val="22"/>
          <w:szCs w:val="22"/>
          <w:lang w:val="en-GB"/>
        </w:rPr>
        <w:t xml:space="preserve"> </w:t>
      </w:r>
      <w:r w:rsidR="002B784C">
        <w:rPr>
          <w:sz w:val="22"/>
          <w:szCs w:val="22"/>
          <w:lang w:val="en-GB"/>
        </w:rPr>
        <w:t>and ESG</w:t>
      </w:r>
      <w:r w:rsidR="00FD70CB" w:rsidRPr="00FD70CB">
        <w:rPr>
          <w:sz w:val="22"/>
          <w:szCs w:val="22"/>
          <w:lang w:val="en-GB"/>
        </w:rPr>
        <w:t xml:space="preserve"> assessment</w:t>
      </w:r>
      <w:bookmarkEnd w:id="1"/>
      <w:r w:rsidR="004237A9">
        <w:rPr>
          <w:sz w:val="22"/>
          <w:szCs w:val="22"/>
          <w:lang w:val="en-GB"/>
        </w:rPr>
        <w:t xml:space="preserve"> which includes </w:t>
      </w:r>
      <w:r w:rsidR="00C6403C" w:rsidRPr="00C6403C">
        <w:rPr>
          <w:sz w:val="22"/>
          <w:szCs w:val="22"/>
          <w:lang w:val="en-GB"/>
        </w:rPr>
        <w:t>the application of</w:t>
      </w:r>
      <w:r w:rsidR="00C6403C">
        <w:rPr>
          <w:sz w:val="22"/>
          <w:szCs w:val="22"/>
          <w:lang w:val="en-GB"/>
        </w:rPr>
        <w:t xml:space="preserve"> </w:t>
      </w:r>
      <w:r w:rsidR="00C6403C" w:rsidRPr="00C6403C">
        <w:rPr>
          <w:sz w:val="22"/>
          <w:szCs w:val="22"/>
          <w:lang w:val="en-GB"/>
        </w:rPr>
        <w:t>proprietary ESG assessment tools tailored to each investment strategy for screening ESG risks</w:t>
      </w:r>
      <w:r w:rsidR="001178F9" w:rsidRPr="006F3874">
        <w:rPr>
          <w:sz w:val="22"/>
          <w:szCs w:val="22"/>
          <w:lang w:val="en-GB"/>
        </w:rPr>
        <w:t>.</w:t>
      </w:r>
      <w:r w:rsidR="00226A1F">
        <w:rPr>
          <w:sz w:val="22"/>
          <w:szCs w:val="22"/>
          <w:lang w:val="en-GB"/>
        </w:rPr>
        <w:t xml:space="preserve"> </w:t>
      </w:r>
    </w:p>
    <w:p w14:paraId="56E1F193" w14:textId="77777777" w:rsidR="006F3874" w:rsidRPr="006F3874" w:rsidRDefault="006F3874" w:rsidP="00A6733C">
      <w:pPr>
        <w:pStyle w:val="ListParagraph"/>
        <w:spacing w:after="0" w:line="276" w:lineRule="auto"/>
        <w:ind w:left="0"/>
        <w:jc w:val="both"/>
        <w:rPr>
          <w:sz w:val="22"/>
          <w:szCs w:val="22"/>
          <w:lang w:val="en-GB"/>
        </w:rPr>
      </w:pPr>
    </w:p>
    <w:p w14:paraId="12130482" w14:textId="266E8345" w:rsidR="001A77D8" w:rsidRDefault="001A77D8" w:rsidP="00A6733C">
      <w:pPr>
        <w:pStyle w:val="ListParagraph"/>
        <w:spacing w:after="0" w:line="276" w:lineRule="auto"/>
        <w:ind w:left="0"/>
        <w:jc w:val="both"/>
        <w:rPr>
          <w:sz w:val="22"/>
          <w:szCs w:val="22"/>
          <w:lang w:val="en-GB"/>
        </w:rPr>
      </w:pPr>
      <w:r w:rsidRPr="006F3874">
        <w:rPr>
          <w:sz w:val="22"/>
          <w:szCs w:val="22"/>
          <w:lang w:val="en-GB"/>
        </w:rPr>
        <w:t xml:space="preserve">The Fund has a private market strategy aiming at both generating positive financial return and at achieving </w:t>
      </w:r>
      <w:bookmarkStart w:id="2" w:name="_Hlk65516152"/>
      <w:r w:rsidRPr="006F3874">
        <w:rPr>
          <w:sz w:val="22"/>
          <w:szCs w:val="22"/>
          <w:lang w:val="en-GB"/>
        </w:rPr>
        <w:t>positive social</w:t>
      </w:r>
      <w:r w:rsidR="004D6A56">
        <w:rPr>
          <w:sz w:val="22"/>
          <w:szCs w:val="22"/>
          <w:lang w:val="en-GB"/>
        </w:rPr>
        <w:t xml:space="preserve"> and environmental</w:t>
      </w:r>
      <w:r w:rsidRPr="006F3874">
        <w:rPr>
          <w:sz w:val="22"/>
          <w:szCs w:val="22"/>
          <w:lang w:val="en-GB"/>
        </w:rPr>
        <w:t xml:space="preserve"> impact, as framed by the SDGs.</w:t>
      </w:r>
      <w:bookmarkEnd w:id="2"/>
      <w:r w:rsidRPr="006F3874">
        <w:rPr>
          <w:sz w:val="22"/>
          <w:szCs w:val="22"/>
          <w:lang w:val="en-GB"/>
        </w:rPr>
        <w:t xml:space="preserve"> To achieve these objectives, the Fund integrates impact considerations throughout the investment lifecycle, including a best-in-class impact assessment and reporting methodology.</w:t>
      </w:r>
    </w:p>
    <w:p w14:paraId="03812594" w14:textId="77777777" w:rsidR="006F3874" w:rsidRPr="006F3874" w:rsidRDefault="006F3874" w:rsidP="00A6733C">
      <w:pPr>
        <w:pStyle w:val="ListParagraph"/>
        <w:spacing w:after="0" w:line="276" w:lineRule="auto"/>
        <w:ind w:left="0"/>
        <w:jc w:val="both"/>
        <w:rPr>
          <w:sz w:val="22"/>
          <w:szCs w:val="22"/>
          <w:lang w:val="en-GB"/>
        </w:rPr>
      </w:pPr>
    </w:p>
    <w:p w14:paraId="1FC9A622" w14:textId="43DA412F" w:rsidR="001A77D8" w:rsidRDefault="001A77D8" w:rsidP="00A6733C">
      <w:pPr>
        <w:pStyle w:val="ListParagraph"/>
        <w:spacing w:after="0" w:line="276" w:lineRule="auto"/>
        <w:ind w:left="0"/>
        <w:jc w:val="both"/>
        <w:rPr>
          <w:sz w:val="22"/>
          <w:szCs w:val="22"/>
          <w:lang w:val="en-GB"/>
        </w:rPr>
      </w:pPr>
      <w:r w:rsidRPr="006F3874">
        <w:rPr>
          <w:sz w:val="22"/>
          <w:szCs w:val="22"/>
          <w:lang w:val="en-GB"/>
        </w:rPr>
        <w:lastRenderedPageBreak/>
        <w:t>The Manager invests in the growth of attractive social enterprises with a proven business model, high development potential and a measurable and scalable social/environmental impact. The Fund invests across all impact sectors while prioritizing financial inclusion, affordable housing, energy access, food &amp; agriculture, healthcare and education. Investment strategies are defined for each priority sector on the basis of the long-term viability of business models, growth/value-creation opportunities, as well as scale and depth of impact</w:t>
      </w:r>
      <w:r w:rsidR="00D34A51">
        <w:rPr>
          <w:sz w:val="22"/>
          <w:szCs w:val="22"/>
          <w:lang w:val="en-GB"/>
        </w:rPr>
        <w:t>.</w:t>
      </w:r>
    </w:p>
    <w:p w14:paraId="3C95368D" w14:textId="77777777" w:rsidR="006F3874" w:rsidRPr="001A77D8" w:rsidRDefault="006F3874" w:rsidP="00A6733C">
      <w:pPr>
        <w:pStyle w:val="ListParagraph"/>
        <w:spacing w:after="0" w:line="276" w:lineRule="auto"/>
        <w:ind w:left="0"/>
        <w:jc w:val="both"/>
        <w:rPr>
          <w:sz w:val="22"/>
          <w:szCs w:val="22"/>
          <w:lang w:val="en-GB"/>
        </w:rPr>
      </w:pPr>
    </w:p>
    <w:p w14:paraId="1D173AAC" w14:textId="081B34AC" w:rsidR="006F3874" w:rsidRPr="00A621D8" w:rsidRDefault="00C93545" w:rsidP="00A6733C">
      <w:pPr>
        <w:pStyle w:val="ListParagraph"/>
        <w:spacing w:after="0" w:line="276" w:lineRule="auto"/>
        <w:ind w:left="0"/>
        <w:jc w:val="both"/>
        <w:rPr>
          <w:sz w:val="22"/>
          <w:szCs w:val="22"/>
          <w:lang w:val="en-GB"/>
        </w:rPr>
      </w:pPr>
      <w:r>
        <w:rPr>
          <w:sz w:val="22"/>
          <w:szCs w:val="22"/>
          <w:lang w:val="en-GB"/>
        </w:rPr>
        <w:t xml:space="preserve">The Fund </w:t>
      </w:r>
      <w:r w:rsidRPr="003A6B1E">
        <w:rPr>
          <w:sz w:val="22"/>
          <w:szCs w:val="22"/>
          <w:lang w:val="en-GB"/>
        </w:rPr>
        <w:t>commits to make a minimum portion of</w:t>
      </w:r>
      <w:r w:rsidRPr="003A6B1E" w:rsidDel="003A6B1E">
        <w:rPr>
          <w:sz w:val="22"/>
          <w:szCs w:val="22"/>
          <w:lang w:val="en-GB"/>
        </w:rPr>
        <w:t xml:space="preserve"> </w:t>
      </w:r>
      <w:r>
        <w:rPr>
          <w:sz w:val="22"/>
          <w:szCs w:val="22"/>
          <w:lang w:val="en-GB"/>
        </w:rPr>
        <w:t>90% in I</w:t>
      </w:r>
      <w:r w:rsidRPr="00A621D8">
        <w:rPr>
          <w:sz w:val="22"/>
          <w:szCs w:val="22"/>
          <w:lang w:val="en-GB"/>
        </w:rPr>
        <w:t>nvestments aligned with E/S characteristics</w:t>
      </w:r>
      <w:r>
        <w:rPr>
          <w:sz w:val="22"/>
          <w:szCs w:val="22"/>
          <w:lang w:val="en-GB"/>
        </w:rPr>
        <w:t xml:space="preserve">. </w:t>
      </w:r>
      <w:r w:rsidRPr="003A6B1E">
        <w:rPr>
          <w:sz w:val="22"/>
          <w:szCs w:val="22"/>
          <w:lang w:val="en-GB"/>
        </w:rPr>
        <w:t>Other</w:t>
      </w:r>
      <w:r>
        <w:rPr>
          <w:sz w:val="22"/>
          <w:szCs w:val="22"/>
          <w:lang w:val="en-GB"/>
        </w:rPr>
        <w:t xml:space="preserve"> investments will</w:t>
      </w:r>
      <w:r w:rsidRPr="003A6B1E">
        <w:rPr>
          <w:sz w:val="22"/>
          <w:szCs w:val="22"/>
          <w:lang w:val="en-GB"/>
        </w:rPr>
        <w:t xml:space="preserve"> include (</w:t>
      </w:r>
      <w:proofErr w:type="spellStart"/>
      <w:r w:rsidRPr="003A6B1E">
        <w:rPr>
          <w:sz w:val="22"/>
          <w:szCs w:val="22"/>
          <w:lang w:val="en-GB"/>
        </w:rPr>
        <w:t>i</w:t>
      </w:r>
      <w:proofErr w:type="spellEnd"/>
      <w:r w:rsidRPr="003A6B1E">
        <w:rPr>
          <w:sz w:val="22"/>
          <w:szCs w:val="22"/>
          <w:lang w:val="en-GB"/>
        </w:rPr>
        <w:t>) derivative instruments used to reduce foreign currency and interest rate</w:t>
      </w:r>
      <w:r>
        <w:rPr>
          <w:sz w:val="22"/>
          <w:szCs w:val="22"/>
          <w:lang w:val="en-GB"/>
        </w:rPr>
        <w:t xml:space="preserve"> </w:t>
      </w:r>
      <w:r w:rsidRPr="003A6B1E">
        <w:rPr>
          <w:sz w:val="22"/>
          <w:szCs w:val="22"/>
          <w:lang w:val="en-GB"/>
        </w:rPr>
        <w:t>risks as described above and (ii) cash which is used for efficient liquidity and efficient</w:t>
      </w:r>
      <w:r>
        <w:rPr>
          <w:sz w:val="22"/>
          <w:szCs w:val="22"/>
          <w:lang w:val="en-GB"/>
        </w:rPr>
        <w:t xml:space="preserve"> </w:t>
      </w:r>
      <w:r w:rsidRPr="003A6B1E">
        <w:rPr>
          <w:sz w:val="22"/>
          <w:szCs w:val="22"/>
          <w:lang w:val="en-GB"/>
        </w:rPr>
        <w:t>portfolio management or cost management purposes which are not actually part of the</w:t>
      </w:r>
      <w:r>
        <w:rPr>
          <w:sz w:val="22"/>
          <w:szCs w:val="22"/>
          <w:lang w:val="en-GB"/>
        </w:rPr>
        <w:t xml:space="preserve"> </w:t>
      </w:r>
      <w:r w:rsidRPr="003A6B1E">
        <w:rPr>
          <w:sz w:val="22"/>
          <w:szCs w:val="22"/>
          <w:lang w:val="en-GB"/>
        </w:rPr>
        <w:t>investment portfolio.</w:t>
      </w:r>
    </w:p>
    <w:p w14:paraId="65D52FF3" w14:textId="1B738F2E" w:rsidR="00A621D8" w:rsidRDefault="00A621D8" w:rsidP="00A6733C">
      <w:pPr>
        <w:pStyle w:val="ListParagraph"/>
        <w:spacing w:after="0" w:line="276" w:lineRule="auto"/>
        <w:ind w:left="0"/>
        <w:jc w:val="both"/>
        <w:rPr>
          <w:sz w:val="22"/>
          <w:szCs w:val="22"/>
          <w:lang w:val="en-GB"/>
        </w:rPr>
      </w:pPr>
      <w:r w:rsidRPr="00A621D8">
        <w:rPr>
          <w:sz w:val="22"/>
          <w:szCs w:val="22"/>
          <w:lang w:val="en-GB"/>
        </w:rPr>
        <w:t>The Manager will do a qualitative assessment of sustainability indicators on a regular basis and will actively monitor sustainability indicators and ESG incidents and will review ESG progress on an annual basis.</w:t>
      </w:r>
    </w:p>
    <w:p w14:paraId="7155A35C" w14:textId="77777777" w:rsidR="006F3874" w:rsidRDefault="006F3874" w:rsidP="00A6733C">
      <w:pPr>
        <w:pStyle w:val="ListParagraph"/>
        <w:spacing w:after="0" w:line="276" w:lineRule="auto"/>
        <w:ind w:left="0"/>
        <w:jc w:val="both"/>
        <w:rPr>
          <w:sz w:val="22"/>
          <w:szCs w:val="22"/>
          <w:lang w:val="en-GB"/>
        </w:rPr>
      </w:pPr>
    </w:p>
    <w:p w14:paraId="1DD6B073" w14:textId="7B82EC12" w:rsidR="00A621D8" w:rsidRPr="00140767" w:rsidRDefault="00A621D8" w:rsidP="00A6733C">
      <w:pPr>
        <w:pStyle w:val="ListParagraph"/>
        <w:spacing w:after="0" w:line="276" w:lineRule="auto"/>
        <w:ind w:left="0"/>
        <w:jc w:val="both"/>
        <w:rPr>
          <w:sz w:val="22"/>
          <w:szCs w:val="22"/>
        </w:rPr>
      </w:pPr>
      <w:r w:rsidRPr="00C06AC7">
        <w:rPr>
          <w:sz w:val="22"/>
          <w:szCs w:val="22"/>
          <w:lang w:val="en-GB"/>
        </w:rPr>
        <w:t>The Manager’s impact and ESG assessment and management methodology is based on the following tools: (1) Impact Management Project; (2) Logic Model ("</w:t>
      </w:r>
      <w:r w:rsidRPr="001A224E">
        <w:rPr>
          <w:b/>
          <w:bCs/>
          <w:sz w:val="22"/>
          <w:szCs w:val="22"/>
          <w:lang w:val="en-GB"/>
        </w:rPr>
        <w:t>Theory of Change</w:t>
      </w:r>
      <w:r w:rsidRPr="00C06AC7">
        <w:rPr>
          <w:sz w:val="22"/>
          <w:szCs w:val="22"/>
          <w:lang w:val="en-GB"/>
        </w:rPr>
        <w:t>"); (3) United Nations Sustainable Development Goals; (4) IRIS metrics; and ESG Due Diligence Tools.</w:t>
      </w:r>
    </w:p>
    <w:p w14:paraId="5AA5A5ED" w14:textId="77777777" w:rsidR="006F3874" w:rsidRDefault="006F3874" w:rsidP="00A6733C">
      <w:pPr>
        <w:pStyle w:val="ListParagraph"/>
        <w:spacing w:after="0" w:line="276" w:lineRule="auto"/>
        <w:ind w:left="0"/>
        <w:jc w:val="both"/>
        <w:rPr>
          <w:sz w:val="22"/>
          <w:szCs w:val="22"/>
          <w:lang w:val="en-GB"/>
        </w:rPr>
      </w:pPr>
    </w:p>
    <w:p w14:paraId="752BB15B" w14:textId="4D61584A" w:rsidR="006F3874" w:rsidRDefault="007C071C" w:rsidP="00A6733C">
      <w:pPr>
        <w:pStyle w:val="ListParagraph"/>
        <w:spacing w:after="0" w:line="276" w:lineRule="auto"/>
        <w:ind w:left="0"/>
        <w:jc w:val="both"/>
        <w:rPr>
          <w:sz w:val="22"/>
          <w:szCs w:val="22"/>
          <w:lang w:val="en-GB"/>
        </w:rPr>
      </w:pPr>
      <w:r w:rsidRPr="008013A5">
        <w:rPr>
          <w:sz w:val="22"/>
          <w:szCs w:val="22"/>
          <w:lang w:val="en-GB"/>
        </w:rPr>
        <w:t>Target companies and assets are selected only after thorough impact assessment, during both</w:t>
      </w:r>
      <w:r>
        <w:rPr>
          <w:sz w:val="22"/>
          <w:szCs w:val="22"/>
          <w:lang w:val="en-GB"/>
        </w:rPr>
        <w:t xml:space="preserve"> </w:t>
      </w:r>
      <w:r w:rsidRPr="008013A5">
        <w:rPr>
          <w:sz w:val="22"/>
          <w:szCs w:val="22"/>
          <w:lang w:val="en-GB"/>
        </w:rPr>
        <w:t>deal sourcing and due diligence for their potential to generate positive SDG-relevant</w:t>
      </w:r>
      <w:r>
        <w:rPr>
          <w:sz w:val="22"/>
          <w:szCs w:val="22"/>
          <w:lang w:val="en-GB"/>
        </w:rPr>
        <w:t xml:space="preserve"> </w:t>
      </w:r>
      <w:r w:rsidRPr="008013A5">
        <w:rPr>
          <w:sz w:val="22"/>
          <w:szCs w:val="22"/>
          <w:lang w:val="en-GB"/>
        </w:rPr>
        <w:t>environmental and social impacts</w:t>
      </w:r>
      <w:r w:rsidR="002A1E9A">
        <w:rPr>
          <w:sz w:val="22"/>
          <w:szCs w:val="22"/>
          <w:lang w:val="en-GB"/>
        </w:rPr>
        <w:t>.</w:t>
      </w:r>
    </w:p>
    <w:p w14:paraId="2A84E653" w14:textId="77777777" w:rsidR="00C06AC7" w:rsidRDefault="00C06AC7" w:rsidP="00A6733C">
      <w:pPr>
        <w:pStyle w:val="ListParagraph"/>
        <w:spacing w:after="0" w:line="276" w:lineRule="auto"/>
        <w:ind w:left="0"/>
        <w:jc w:val="both"/>
        <w:rPr>
          <w:sz w:val="22"/>
          <w:szCs w:val="22"/>
          <w:lang w:val="en-GB"/>
        </w:rPr>
      </w:pPr>
    </w:p>
    <w:p w14:paraId="6DC2E759" w14:textId="66A384D3" w:rsidR="00366B77" w:rsidRPr="008049D2" w:rsidRDefault="00366B77" w:rsidP="00A6733C">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67AAEBF5" w14:textId="77777777" w:rsidR="009312B4" w:rsidRPr="008049D2" w:rsidRDefault="009312B4" w:rsidP="00A6733C">
      <w:pPr>
        <w:pStyle w:val="ListParagraph"/>
        <w:spacing w:after="0"/>
        <w:rPr>
          <w:sz w:val="22"/>
          <w:szCs w:val="22"/>
          <w:lang w:val="en-GB"/>
        </w:rPr>
      </w:pPr>
    </w:p>
    <w:p w14:paraId="69D59433" w14:textId="77777777" w:rsidR="008530F6" w:rsidRPr="008049D2" w:rsidRDefault="008530F6" w:rsidP="00A6733C">
      <w:pPr>
        <w:pStyle w:val="Heading1"/>
        <w:numPr>
          <w:ilvl w:val="0"/>
          <w:numId w:val="26"/>
        </w:numPr>
        <w:spacing w:after="0"/>
        <w:ind w:left="709"/>
        <w:rPr>
          <w:sz w:val="22"/>
          <w:szCs w:val="22"/>
          <w:lang w:val="en-GB"/>
        </w:rPr>
      </w:pPr>
      <w:r w:rsidRPr="008049D2">
        <w:rPr>
          <w:sz w:val="22"/>
          <w:szCs w:val="22"/>
          <w:lang w:val="en-GB"/>
        </w:rPr>
        <w:t>No sustainable investment objective</w:t>
      </w:r>
    </w:p>
    <w:p w14:paraId="52CA44B5" w14:textId="138748BA" w:rsidR="008530F6" w:rsidRDefault="008049D2" w:rsidP="00A6733C">
      <w:pPr>
        <w:pStyle w:val="ListParagraph"/>
        <w:spacing w:after="0" w:line="276" w:lineRule="auto"/>
        <w:ind w:left="0"/>
        <w:jc w:val="both"/>
        <w:rPr>
          <w:sz w:val="22"/>
          <w:szCs w:val="22"/>
          <w:lang w:val="en-GB"/>
        </w:rPr>
      </w:pPr>
      <w:r w:rsidRPr="008049D2">
        <w:rPr>
          <w:sz w:val="22"/>
          <w:szCs w:val="22"/>
          <w:lang w:val="en-GB"/>
        </w:rPr>
        <w:t xml:space="preserve">This financial product promotes environmental or social </w:t>
      </w:r>
      <w:proofErr w:type="gramStart"/>
      <w:r w:rsidRPr="008049D2">
        <w:rPr>
          <w:sz w:val="22"/>
          <w:szCs w:val="22"/>
          <w:lang w:val="en-GB"/>
        </w:rPr>
        <w:t>characteristics</w:t>
      </w:r>
      <w:r w:rsidR="00221DFB">
        <w:rPr>
          <w:sz w:val="22"/>
          <w:szCs w:val="22"/>
          <w:lang w:val="en-GB"/>
        </w:rPr>
        <w:t>,</w:t>
      </w:r>
      <w:r w:rsidR="009F4882" w:rsidRPr="00332635">
        <w:rPr>
          <w:sz w:val="22"/>
          <w:szCs w:val="22"/>
          <w:lang w:val="en-GB"/>
        </w:rPr>
        <w:t xml:space="preserve"> </w:t>
      </w:r>
      <w:r w:rsidRPr="008049D2">
        <w:rPr>
          <w:sz w:val="22"/>
          <w:szCs w:val="22"/>
          <w:lang w:val="en-GB"/>
        </w:rPr>
        <w:t>but</w:t>
      </w:r>
      <w:proofErr w:type="gramEnd"/>
      <w:r w:rsidRPr="008049D2">
        <w:rPr>
          <w:sz w:val="22"/>
          <w:szCs w:val="22"/>
          <w:lang w:val="en-GB"/>
        </w:rPr>
        <w:t xml:space="preserve"> does not have as its objective sustainable investment.</w:t>
      </w:r>
    </w:p>
    <w:p w14:paraId="20C8690D" w14:textId="77777777" w:rsidR="009F4882" w:rsidRDefault="009F4882" w:rsidP="00A6733C">
      <w:pPr>
        <w:pStyle w:val="ListParagraph"/>
        <w:spacing w:after="0" w:line="276" w:lineRule="auto"/>
        <w:ind w:left="0"/>
        <w:jc w:val="both"/>
        <w:rPr>
          <w:sz w:val="22"/>
          <w:szCs w:val="22"/>
          <w:lang w:val="en-GB"/>
        </w:rPr>
      </w:pPr>
    </w:p>
    <w:p w14:paraId="65D1CCF8" w14:textId="0E9E4691" w:rsidR="008C06D4" w:rsidRDefault="008C06D4" w:rsidP="00A6733C">
      <w:pPr>
        <w:pStyle w:val="ListParagraph"/>
        <w:spacing w:after="0" w:line="276" w:lineRule="auto"/>
        <w:ind w:left="0"/>
        <w:jc w:val="both"/>
        <w:rPr>
          <w:sz w:val="22"/>
          <w:szCs w:val="22"/>
          <w:lang w:val="en-GB"/>
        </w:rPr>
      </w:pPr>
      <w:bookmarkStart w:id="3" w:name="_Hlk92809097"/>
      <w:r w:rsidRPr="000B5D4D">
        <w:rPr>
          <w:sz w:val="22"/>
          <w:szCs w:val="22"/>
          <w:lang w:val="en-GB"/>
        </w:rPr>
        <w:t xml:space="preserve">The </w:t>
      </w:r>
      <w:r w:rsidR="0032103F">
        <w:rPr>
          <w:sz w:val="22"/>
          <w:szCs w:val="22"/>
          <w:lang w:val="en-GB"/>
        </w:rPr>
        <w:t>I</w:t>
      </w:r>
      <w:r w:rsidRPr="000B5D4D">
        <w:rPr>
          <w:sz w:val="22"/>
          <w:szCs w:val="22"/>
          <w:lang w:val="en-GB"/>
        </w:rPr>
        <w:t>nvestments underlying this Fund do not take into account the EU criteria for environmentally sustainable economic activities. As a result, the Taxonomy</w:t>
      </w:r>
      <w:r>
        <w:rPr>
          <w:sz w:val="22"/>
          <w:szCs w:val="22"/>
          <w:lang w:val="en-GB"/>
        </w:rPr>
        <w:t xml:space="preserve"> Regulation</w:t>
      </w:r>
      <w:r w:rsidRPr="000B5D4D">
        <w:rPr>
          <w:sz w:val="22"/>
          <w:szCs w:val="22"/>
          <w:lang w:val="en-GB"/>
        </w:rPr>
        <w:t xml:space="preserve"> “do not significant harm” principles do not apply</w:t>
      </w:r>
      <w:r>
        <w:rPr>
          <w:sz w:val="22"/>
          <w:szCs w:val="22"/>
          <w:lang w:val="en-GB"/>
        </w:rPr>
        <w:t>.</w:t>
      </w:r>
    </w:p>
    <w:p w14:paraId="6905E37E" w14:textId="77777777" w:rsidR="000D35EB" w:rsidRDefault="000D35EB" w:rsidP="00A6733C">
      <w:pPr>
        <w:pStyle w:val="ListParagraph"/>
        <w:spacing w:after="0" w:line="276" w:lineRule="auto"/>
        <w:ind w:left="0"/>
        <w:jc w:val="both"/>
        <w:rPr>
          <w:sz w:val="22"/>
          <w:szCs w:val="22"/>
          <w:lang w:val="en-GB"/>
        </w:rPr>
      </w:pPr>
    </w:p>
    <w:bookmarkEnd w:id="3"/>
    <w:p w14:paraId="55397885" w14:textId="261D05F2" w:rsidR="001178F9" w:rsidRDefault="001178F9" w:rsidP="00A6733C">
      <w:pPr>
        <w:spacing w:after="0" w:line="276" w:lineRule="auto"/>
        <w:jc w:val="both"/>
        <w:rPr>
          <w:sz w:val="22"/>
          <w:szCs w:val="22"/>
          <w:lang w:val="en-GB"/>
        </w:rPr>
      </w:pPr>
      <w:r w:rsidRPr="001178F9">
        <w:rPr>
          <w:sz w:val="22"/>
          <w:szCs w:val="22"/>
          <w:lang w:val="en-GB"/>
        </w:rPr>
        <w:t xml:space="preserve">The Fund will not at this stage consider principal adverse sustainability impacts as defined in </w:t>
      </w:r>
      <w:r w:rsidR="00667244">
        <w:rPr>
          <w:sz w:val="22"/>
          <w:szCs w:val="22"/>
          <w:lang w:val="en-GB"/>
        </w:rPr>
        <w:t>SFDR</w:t>
      </w:r>
      <w:r w:rsidRPr="001178F9">
        <w:rPr>
          <w:sz w:val="22"/>
          <w:szCs w:val="22"/>
          <w:lang w:val="en-GB"/>
        </w:rPr>
        <w:t xml:space="preserve"> but </w:t>
      </w:r>
      <w:bookmarkStart w:id="4" w:name="_Hlk65770863"/>
      <w:r w:rsidR="00FD70CB" w:rsidRPr="00FD70CB">
        <w:rPr>
          <w:sz w:val="22"/>
          <w:szCs w:val="22"/>
          <w:lang w:val="en-GB"/>
        </w:rPr>
        <w:t xml:space="preserve">follows a comprehensive impact </w:t>
      </w:r>
      <w:r w:rsidR="007C071C">
        <w:rPr>
          <w:sz w:val="22"/>
          <w:szCs w:val="22"/>
          <w:lang w:val="en-GB"/>
        </w:rPr>
        <w:t xml:space="preserve">and ESG </w:t>
      </w:r>
      <w:r w:rsidR="00FD70CB" w:rsidRPr="00FD70CB">
        <w:rPr>
          <w:sz w:val="22"/>
          <w:szCs w:val="22"/>
          <w:lang w:val="en-GB"/>
        </w:rPr>
        <w:t xml:space="preserve">assessment </w:t>
      </w:r>
      <w:r w:rsidR="00C6403C" w:rsidRPr="00C6403C">
        <w:rPr>
          <w:sz w:val="22"/>
          <w:szCs w:val="22"/>
          <w:lang w:val="en-GB"/>
        </w:rPr>
        <w:t>which includes the application of</w:t>
      </w:r>
      <w:r w:rsidR="00C6403C">
        <w:rPr>
          <w:sz w:val="22"/>
          <w:szCs w:val="22"/>
          <w:lang w:val="en-GB"/>
        </w:rPr>
        <w:t xml:space="preserve"> </w:t>
      </w:r>
      <w:r w:rsidR="00C6403C" w:rsidRPr="00C6403C">
        <w:rPr>
          <w:sz w:val="22"/>
          <w:szCs w:val="22"/>
          <w:lang w:val="en-GB"/>
        </w:rPr>
        <w:t>proprietary ESG assessment tools tailored to each investment strategy for screening ESG risks</w:t>
      </w:r>
      <w:r w:rsidR="00C6403C" w:rsidRPr="00C6403C" w:rsidDel="00BE3381">
        <w:rPr>
          <w:sz w:val="22"/>
          <w:szCs w:val="22"/>
          <w:lang w:val="en-GB"/>
        </w:rPr>
        <w:t xml:space="preserve"> </w:t>
      </w:r>
      <w:bookmarkEnd w:id="4"/>
      <w:r w:rsidRPr="001178F9">
        <w:rPr>
          <w:sz w:val="22"/>
          <w:szCs w:val="22"/>
          <w:lang w:val="en-GB"/>
        </w:rPr>
        <w:t>.</w:t>
      </w:r>
    </w:p>
    <w:p w14:paraId="4279DE2F" w14:textId="77777777" w:rsidR="000D35EB" w:rsidRPr="009C23AA" w:rsidRDefault="000D35EB" w:rsidP="00A6733C">
      <w:pPr>
        <w:spacing w:after="0" w:line="276" w:lineRule="auto"/>
        <w:jc w:val="both"/>
        <w:rPr>
          <w:sz w:val="22"/>
          <w:szCs w:val="22"/>
          <w:lang w:val="en-GB"/>
        </w:rPr>
      </w:pPr>
    </w:p>
    <w:p w14:paraId="492DD0C9" w14:textId="77777777" w:rsidR="00B06F65" w:rsidRPr="008049D2" w:rsidRDefault="009312B4" w:rsidP="00A6733C">
      <w:pPr>
        <w:pStyle w:val="Heading1"/>
        <w:numPr>
          <w:ilvl w:val="0"/>
          <w:numId w:val="26"/>
        </w:numPr>
        <w:spacing w:after="0"/>
        <w:ind w:left="709"/>
        <w:rPr>
          <w:sz w:val="22"/>
          <w:szCs w:val="22"/>
          <w:lang w:val="en-GB"/>
        </w:rPr>
      </w:pPr>
      <w:r w:rsidRPr="008049D2">
        <w:rPr>
          <w:sz w:val="22"/>
          <w:szCs w:val="22"/>
          <w:lang w:val="en-GB"/>
        </w:rPr>
        <w:t>Environmental or social characteristics of the financial product</w:t>
      </w:r>
      <w:r w:rsidR="00B06F65" w:rsidRPr="008049D2">
        <w:rPr>
          <w:sz w:val="22"/>
          <w:szCs w:val="22"/>
          <w:lang w:val="en-GB"/>
        </w:rPr>
        <w:t xml:space="preserve"> </w:t>
      </w:r>
    </w:p>
    <w:p w14:paraId="1E1936BC" w14:textId="3677E6B7" w:rsidR="00AD3540" w:rsidRPr="00AD3540" w:rsidRDefault="007B479C" w:rsidP="00A6733C">
      <w:pPr>
        <w:spacing w:after="0" w:line="276" w:lineRule="auto"/>
        <w:jc w:val="both"/>
        <w:rPr>
          <w:sz w:val="22"/>
          <w:szCs w:val="22"/>
          <w:lang w:val="en-GB"/>
        </w:rPr>
      </w:pPr>
      <w:bookmarkStart w:id="5" w:name="_Hlk65771064"/>
      <w:r>
        <w:rPr>
          <w:sz w:val="22"/>
          <w:szCs w:val="22"/>
          <w:lang w:val="en-GB"/>
        </w:rPr>
        <w:t xml:space="preserve">Blue Earth Capital AG (previously known as </w:t>
      </w:r>
      <w:r w:rsidR="00BE7D83" w:rsidRPr="00BE7D83">
        <w:rPr>
          <w:sz w:val="22"/>
          <w:szCs w:val="22"/>
          <w:lang w:val="en-GB"/>
        </w:rPr>
        <w:t>PG Impact Investments AG</w:t>
      </w:r>
      <w:r>
        <w:rPr>
          <w:sz w:val="22"/>
          <w:szCs w:val="22"/>
          <w:lang w:val="en-GB"/>
        </w:rPr>
        <w:t>)</w:t>
      </w:r>
      <w:r w:rsidR="00BE7D83" w:rsidRPr="00BE7D83">
        <w:rPr>
          <w:sz w:val="22"/>
          <w:szCs w:val="22"/>
          <w:lang w:val="en-GB"/>
        </w:rPr>
        <w:t xml:space="preserve"> acts in the capacity as Adviser to the Manager. The information herein from the Manager is based on the consultation, information and recommendations received from the Adviser.</w:t>
      </w:r>
      <w:r w:rsidR="00BE7D83">
        <w:rPr>
          <w:sz w:val="22"/>
          <w:szCs w:val="22"/>
          <w:lang w:val="en-GB"/>
        </w:rPr>
        <w:t xml:space="preserve"> </w:t>
      </w:r>
      <w:bookmarkEnd w:id="5"/>
      <w:r w:rsidR="00AD3540" w:rsidRPr="00AD3540">
        <w:rPr>
          <w:sz w:val="22"/>
          <w:szCs w:val="22"/>
          <w:lang w:val="en-GB"/>
        </w:rPr>
        <w:t>The Manager</w:t>
      </w:r>
      <w:r w:rsidR="00BE7D83">
        <w:rPr>
          <w:sz w:val="22"/>
          <w:szCs w:val="22"/>
          <w:lang w:val="en-GB"/>
        </w:rPr>
        <w:t xml:space="preserve"> </w:t>
      </w:r>
      <w:r w:rsidR="00AD3540" w:rsidRPr="00AD3540">
        <w:rPr>
          <w:sz w:val="22"/>
          <w:szCs w:val="22"/>
          <w:lang w:val="en-GB"/>
        </w:rPr>
        <w:t>is committed to investing in a responsible way by actively integrating environmental, social and governance (“</w:t>
      </w:r>
      <w:r w:rsidR="00AD3540" w:rsidRPr="009A1126">
        <w:rPr>
          <w:b/>
          <w:bCs/>
          <w:sz w:val="22"/>
          <w:szCs w:val="22"/>
          <w:lang w:val="en-GB"/>
        </w:rPr>
        <w:t>ESG</w:t>
      </w:r>
      <w:r w:rsidR="00AD3540" w:rsidRPr="00AD3540">
        <w:rPr>
          <w:sz w:val="22"/>
          <w:szCs w:val="22"/>
          <w:lang w:val="en-GB"/>
        </w:rPr>
        <w:t xml:space="preserve">”) </w:t>
      </w:r>
      <w:r w:rsidR="00AD3540" w:rsidRPr="00AD3540">
        <w:rPr>
          <w:sz w:val="22"/>
          <w:szCs w:val="22"/>
          <w:lang w:val="en-GB"/>
        </w:rPr>
        <w:lastRenderedPageBreak/>
        <w:t>considerations in its investment selection and ongoing monitoring process. By integrating ESG factors into the investment process, the Manager aims at:</w:t>
      </w:r>
    </w:p>
    <w:p w14:paraId="4855851E" w14:textId="360F64E9" w:rsidR="00AD3540" w:rsidRPr="00AD3540" w:rsidRDefault="00AD3540" w:rsidP="00A6733C">
      <w:pPr>
        <w:pStyle w:val="ListParagraph"/>
        <w:spacing w:after="0" w:line="276" w:lineRule="auto"/>
        <w:jc w:val="both"/>
        <w:rPr>
          <w:sz w:val="22"/>
          <w:szCs w:val="22"/>
          <w:lang w:val="en-GB"/>
        </w:rPr>
      </w:pPr>
      <w:r w:rsidRPr="00AD3540">
        <w:rPr>
          <w:sz w:val="22"/>
          <w:szCs w:val="22"/>
          <w:lang w:val="en-GB"/>
        </w:rPr>
        <w:t>(</w:t>
      </w:r>
      <w:proofErr w:type="spellStart"/>
      <w:r w:rsidRPr="00AD3540">
        <w:rPr>
          <w:sz w:val="22"/>
          <w:szCs w:val="22"/>
          <w:lang w:val="en-GB"/>
        </w:rPr>
        <w:t>i</w:t>
      </w:r>
      <w:proofErr w:type="spellEnd"/>
      <w:r w:rsidRPr="00AD3540">
        <w:rPr>
          <w:sz w:val="22"/>
          <w:szCs w:val="22"/>
          <w:lang w:val="en-GB"/>
        </w:rPr>
        <w:t>)</w:t>
      </w:r>
      <w:r w:rsidRPr="00AD3540">
        <w:rPr>
          <w:sz w:val="22"/>
          <w:szCs w:val="22"/>
          <w:lang w:val="en-GB"/>
        </w:rPr>
        <w:tab/>
        <w:t>enhancing investment returns and protect value for the Fund</w:t>
      </w:r>
      <w:r w:rsidR="009A1126">
        <w:rPr>
          <w:sz w:val="22"/>
          <w:szCs w:val="22"/>
          <w:lang w:val="en-GB"/>
        </w:rPr>
        <w:t>;</w:t>
      </w:r>
      <w:r w:rsidRPr="00AD3540">
        <w:rPr>
          <w:sz w:val="22"/>
          <w:szCs w:val="22"/>
          <w:lang w:val="en-GB"/>
        </w:rPr>
        <w:t xml:space="preserve"> and </w:t>
      </w:r>
    </w:p>
    <w:p w14:paraId="38855714" w14:textId="079EFE90" w:rsidR="00CC2DA9" w:rsidRDefault="00AD3540" w:rsidP="00A6733C">
      <w:pPr>
        <w:pStyle w:val="ListParagraph"/>
        <w:spacing w:after="0" w:line="276" w:lineRule="auto"/>
        <w:ind w:left="1440" w:hanging="720"/>
        <w:jc w:val="both"/>
        <w:rPr>
          <w:sz w:val="22"/>
          <w:szCs w:val="22"/>
          <w:lang w:val="en-GB"/>
        </w:rPr>
      </w:pPr>
      <w:r w:rsidRPr="00AD3540">
        <w:rPr>
          <w:sz w:val="22"/>
          <w:szCs w:val="22"/>
          <w:lang w:val="en-GB"/>
        </w:rPr>
        <w:t>(ii)</w:t>
      </w:r>
      <w:r w:rsidRPr="00AD3540">
        <w:rPr>
          <w:sz w:val="22"/>
          <w:szCs w:val="22"/>
          <w:lang w:val="en-GB"/>
        </w:rPr>
        <w:tab/>
        <w:t>ensuring that the companies and assets in which the Fund invests ideally benefit, investors, society and the environment</w:t>
      </w:r>
      <w:r w:rsidR="009A1126">
        <w:rPr>
          <w:sz w:val="22"/>
          <w:szCs w:val="22"/>
          <w:lang w:val="en-GB"/>
        </w:rPr>
        <w:t>.</w:t>
      </w:r>
    </w:p>
    <w:p w14:paraId="1E4F3B39" w14:textId="275461D1" w:rsidR="00FC3788" w:rsidRDefault="00FC3788" w:rsidP="00A6733C">
      <w:pPr>
        <w:pStyle w:val="ListParagraph"/>
        <w:spacing w:after="0" w:line="276" w:lineRule="auto"/>
        <w:jc w:val="both"/>
        <w:rPr>
          <w:sz w:val="22"/>
          <w:szCs w:val="22"/>
          <w:lang w:val="en-GB"/>
        </w:rPr>
      </w:pPr>
    </w:p>
    <w:p w14:paraId="029D62B3" w14:textId="24078E37" w:rsidR="00B06F65" w:rsidRPr="008049D2" w:rsidRDefault="009312B4" w:rsidP="00A6733C">
      <w:pPr>
        <w:pStyle w:val="Heading1"/>
        <w:numPr>
          <w:ilvl w:val="0"/>
          <w:numId w:val="26"/>
        </w:numPr>
        <w:spacing w:after="0"/>
        <w:ind w:left="709"/>
        <w:rPr>
          <w:sz w:val="22"/>
          <w:szCs w:val="22"/>
          <w:lang w:val="en-GB"/>
        </w:rPr>
      </w:pPr>
      <w:r w:rsidRPr="008049D2">
        <w:rPr>
          <w:sz w:val="22"/>
          <w:szCs w:val="22"/>
          <w:lang w:val="en-GB"/>
        </w:rPr>
        <w:t>Investment strategy</w:t>
      </w:r>
    </w:p>
    <w:p w14:paraId="5CF7E2BE" w14:textId="6AC2B771" w:rsidR="001178F9" w:rsidRDefault="001178F9" w:rsidP="00A6733C">
      <w:pPr>
        <w:spacing w:after="0" w:line="276" w:lineRule="auto"/>
        <w:jc w:val="both"/>
        <w:rPr>
          <w:sz w:val="22"/>
          <w:szCs w:val="22"/>
          <w:lang w:val="en-GB"/>
        </w:rPr>
      </w:pPr>
      <w:r w:rsidRPr="001178F9">
        <w:rPr>
          <w:sz w:val="22"/>
          <w:szCs w:val="22"/>
          <w:lang w:val="en-GB"/>
        </w:rPr>
        <w:t xml:space="preserve">The Manager seeks to generate investment returns in a way that complies with relevant local and international laws, including adherence to international protocols on banned products, and potential for negative impacts on society or the environment. The investment approach includes a best-in-class impact assessment and an analysis of </w:t>
      </w:r>
      <w:r w:rsidR="009A1126">
        <w:rPr>
          <w:sz w:val="22"/>
          <w:szCs w:val="22"/>
          <w:lang w:val="en-GB"/>
        </w:rPr>
        <w:t>I</w:t>
      </w:r>
      <w:r w:rsidRPr="001178F9">
        <w:rPr>
          <w:sz w:val="22"/>
          <w:szCs w:val="22"/>
          <w:lang w:val="en-GB"/>
        </w:rPr>
        <w:t>nvestments against SDGs.</w:t>
      </w:r>
    </w:p>
    <w:p w14:paraId="4B046442" w14:textId="77777777" w:rsidR="00CE4B56" w:rsidRPr="001178F9" w:rsidRDefault="00CE4B56" w:rsidP="00A6733C">
      <w:pPr>
        <w:spacing w:after="0" w:line="276" w:lineRule="auto"/>
        <w:jc w:val="both"/>
        <w:rPr>
          <w:sz w:val="22"/>
          <w:szCs w:val="22"/>
          <w:lang w:val="en-GB"/>
        </w:rPr>
      </w:pPr>
    </w:p>
    <w:p w14:paraId="2794EC29" w14:textId="2AFC4D5C" w:rsidR="00502A2D" w:rsidRDefault="001178F9" w:rsidP="00A6733C">
      <w:pPr>
        <w:spacing w:after="0" w:line="276" w:lineRule="auto"/>
        <w:jc w:val="both"/>
        <w:rPr>
          <w:sz w:val="22"/>
          <w:szCs w:val="22"/>
          <w:lang w:val="en-GB"/>
        </w:rPr>
      </w:pPr>
      <w:r w:rsidRPr="001178F9">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w:t>
      </w:r>
      <w:r w:rsidR="00AD29B4" w:rsidRPr="00AD29B4">
        <w:rPr>
          <w:sz w:val="22"/>
          <w:szCs w:val="22"/>
          <w:lang w:val="en-GB"/>
        </w:rPr>
        <w:t xml:space="preserve">comprehensive risk-based approach to ESG integration throughout the lifecycle of each deal. </w:t>
      </w:r>
    </w:p>
    <w:p w14:paraId="2C3097C4" w14:textId="77777777" w:rsidR="00CE4B56" w:rsidRPr="00502A2D" w:rsidRDefault="00CE4B56" w:rsidP="00A6733C">
      <w:pPr>
        <w:spacing w:after="0" w:line="276" w:lineRule="auto"/>
        <w:jc w:val="both"/>
        <w:rPr>
          <w:sz w:val="22"/>
          <w:szCs w:val="22"/>
        </w:rPr>
      </w:pPr>
    </w:p>
    <w:p w14:paraId="33E6B435" w14:textId="55C1E3F2" w:rsidR="001178F9" w:rsidRDefault="001178F9" w:rsidP="00A6733C">
      <w:pPr>
        <w:spacing w:after="0" w:line="276" w:lineRule="auto"/>
        <w:jc w:val="both"/>
        <w:rPr>
          <w:sz w:val="22"/>
          <w:szCs w:val="22"/>
          <w:lang w:val="en-GB"/>
        </w:rPr>
      </w:pPr>
      <w:r w:rsidRPr="001178F9">
        <w:rPr>
          <w:sz w:val="22"/>
          <w:szCs w:val="22"/>
          <w:lang w:val="en-GB"/>
        </w:rPr>
        <w:t xml:space="preserve">The Manager actively includes impact and ESG criteria in its investment process. Investment themes are defined in alignment with the environmental and social characteristics promoted by the </w:t>
      </w:r>
      <w:r w:rsidR="009A1126">
        <w:rPr>
          <w:sz w:val="22"/>
          <w:szCs w:val="22"/>
          <w:lang w:val="en-GB"/>
        </w:rPr>
        <w:t>F</w:t>
      </w:r>
      <w:r w:rsidRPr="001178F9">
        <w:rPr>
          <w:sz w:val="22"/>
          <w:szCs w:val="22"/>
          <w:lang w:val="en-GB"/>
        </w:rPr>
        <w:t>und. During the deal sourcing, business models are identified which are attractive both from a commercial and from an impact point of view. During the due diligence process, impact is assessed based on a best-in-class impact methodology. A logic model is developed linking the investment to potential outputs, outcomes and ultimately SDG/SDT impacts. This is used as the basis to set key impact targets. A specific ESG analysis and assessment will be completed to identify and mitigate material Sustainability Risks</w:t>
      </w:r>
      <w:r>
        <w:rPr>
          <w:rStyle w:val="FootnoteReference"/>
          <w:sz w:val="22"/>
          <w:szCs w:val="22"/>
          <w:lang w:val="en-GB"/>
        </w:rPr>
        <w:footnoteReference w:id="2"/>
      </w:r>
      <w:r w:rsidRPr="001178F9">
        <w:rPr>
          <w:sz w:val="22"/>
          <w:szCs w:val="22"/>
          <w:lang w:val="en-GB"/>
        </w:rPr>
        <w:t xml:space="preserve"> (as defined below). Both impact assessment and ESG analysis are presented to and discussed in the investment committee.</w:t>
      </w:r>
    </w:p>
    <w:p w14:paraId="0A52AD55" w14:textId="77777777" w:rsidR="001A224E" w:rsidRPr="001178F9" w:rsidRDefault="001A224E" w:rsidP="00A6733C">
      <w:pPr>
        <w:spacing w:after="0" w:line="276" w:lineRule="auto"/>
        <w:jc w:val="both"/>
        <w:rPr>
          <w:sz w:val="22"/>
          <w:szCs w:val="22"/>
          <w:lang w:val="en-GB"/>
        </w:rPr>
      </w:pPr>
    </w:p>
    <w:p w14:paraId="67CD119F" w14:textId="5F3B0FC5" w:rsidR="001178F9" w:rsidRDefault="001178F9" w:rsidP="00A6733C">
      <w:pPr>
        <w:spacing w:after="0" w:line="276" w:lineRule="auto"/>
        <w:jc w:val="both"/>
        <w:rPr>
          <w:sz w:val="22"/>
          <w:szCs w:val="22"/>
          <w:lang w:val="en-GB"/>
        </w:rPr>
      </w:pPr>
      <w:r w:rsidRPr="001178F9">
        <w:rPr>
          <w:sz w:val="22"/>
          <w:szCs w:val="22"/>
          <w:lang w:val="en-GB"/>
        </w:rPr>
        <w:t xml:space="preserve">When potentially material Sustainability Risks are identified through the proprietary ESG assessment tool, the investment teams work together to deepen their understanding of material Sustainability Risks through conversations with borrowers, sponsors and external advisors. The investment teams monitor the management of Sustainability Risks during ownership and engage as needed, subject to the </w:t>
      </w:r>
      <w:r w:rsidR="00BE7D83">
        <w:rPr>
          <w:sz w:val="22"/>
          <w:szCs w:val="22"/>
          <w:lang w:val="en-GB"/>
        </w:rPr>
        <w:t>Fund</w:t>
      </w:r>
      <w:r w:rsidR="00BE7D83" w:rsidRPr="001178F9">
        <w:rPr>
          <w:sz w:val="22"/>
          <w:szCs w:val="22"/>
          <w:lang w:val="en-GB"/>
        </w:rPr>
        <w:t xml:space="preserve">’s </w:t>
      </w:r>
      <w:r w:rsidRPr="001178F9">
        <w:rPr>
          <w:sz w:val="22"/>
          <w:szCs w:val="22"/>
          <w:lang w:val="en-GB"/>
        </w:rPr>
        <w:t>role</w:t>
      </w:r>
      <w:r w:rsidR="00BE7D83">
        <w:rPr>
          <w:sz w:val="22"/>
          <w:szCs w:val="22"/>
          <w:lang w:val="en-GB"/>
        </w:rPr>
        <w:t xml:space="preserve"> as investor</w:t>
      </w:r>
      <w:r w:rsidRPr="001178F9">
        <w:rPr>
          <w:sz w:val="22"/>
          <w:szCs w:val="22"/>
          <w:lang w:val="en-GB"/>
        </w:rPr>
        <w:t xml:space="preserve">. </w:t>
      </w:r>
    </w:p>
    <w:p w14:paraId="77D8E309" w14:textId="77777777" w:rsidR="00CE4B56" w:rsidRPr="001178F9" w:rsidRDefault="00CE4B56" w:rsidP="00A6733C">
      <w:pPr>
        <w:spacing w:after="0" w:line="276" w:lineRule="auto"/>
        <w:jc w:val="both"/>
        <w:rPr>
          <w:sz w:val="22"/>
          <w:szCs w:val="22"/>
          <w:lang w:val="en-GB"/>
        </w:rPr>
      </w:pPr>
    </w:p>
    <w:p w14:paraId="7EED6984" w14:textId="568AD4BE" w:rsidR="001178F9" w:rsidRDefault="001178F9" w:rsidP="00A6733C">
      <w:pPr>
        <w:spacing w:after="0" w:line="276" w:lineRule="auto"/>
        <w:jc w:val="both"/>
        <w:rPr>
          <w:sz w:val="22"/>
          <w:szCs w:val="22"/>
          <w:lang w:val="en-GB"/>
        </w:rPr>
      </w:pPr>
      <w:r w:rsidRPr="001178F9">
        <w:rPr>
          <w:sz w:val="22"/>
          <w:szCs w:val="22"/>
          <w:lang w:val="en-GB"/>
        </w:rPr>
        <w:t>The Manager may also invest via funds managed by other investment managers.</w:t>
      </w:r>
    </w:p>
    <w:p w14:paraId="27105C42" w14:textId="77777777" w:rsidR="00CE4B56" w:rsidRPr="001178F9" w:rsidRDefault="00CE4B56" w:rsidP="00A6733C">
      <w:pPr>
        <w:spacing w:after="0" w:line="276" w:lineRule="auto"/>
        <w:jc w:val="both"/>
        <w:rPr>
          <w:sz w:val="22"/>
          <w:szCs w:val="22"/>
          <w:lang w:val="en-GB"/>
        </w:rPr>
      </w:pPr>
    </w:p>
    <w:p w14:paraId="1B32F6DD" w14:textId="39B024A5" w:rsidR="001178F9" w:rsidRDefault="001178F9" w:rsidP="00A6733C">
      <w:pPr>
        <w:spacing w:after="0" w:line="276" w:lineRule="auto"/>
        <w:jc w:val="both"/>
        <w:rPr>
          <w:sz w:val="22"/>
          <w:szCs w:val="22"/>
          <w:lang w:val="en-GB"/>
        </w:rPr>
      </w:pPr>
      <w:r w:rsidRPr="001178F9">
        <w:rPr>
          <w:sz w:val="22"/>
          <w:szCs w:val="22"/>
          <w:lang w:val="en-GB"/>
        </w:rPr>
        <w:t xml:space="preserve">For primary Fund investments, the underlying funds in which the Manager is considering a potential investment are required to complete a Fund investments ESG Assessment to explain how they take </w:t>
      </w:r>
      <w:r w:rsidRPr="001178F9">
        <w:rPr>
          <w:sz w:val="22"/>
          <w:szCs w:val="22"/>
          <w:lang w:val="en-GB"/>
        </w:rPr>
        <w:lastRenderedPageBreak/>
        <w:t>into account ESG factors. The assessment is based on the United Nations Principle for Responsible Investment’s (“</w:t>
      </w:r>
      <w:r w:rsidRPr="001A224E">
        <w:rPr>
          <w:b/>
          <w:bCs/>
          <w:sz w:val="22"/>
          <w:szCs w:val="22"/>
          <w:lang w:val="en-GB"/>
        </w:rPr>
        <w:t>UN PRI</w:t>
      </w:r>
      <w:r w:rsidRPr="001178F9">
        <w:rPr>
          <w:sz w:val="22"/>
          <w:szCs w:val="22"/>
          <w:lang w:val="en-GB"/>
        </w:rPr>
        <w:t xml:space="preserve">”) limited partners’ responsible investment due diligence questionnaire to assess the strength of an underlying manager’s approach to ESG integration. </w:t>
      </w:r>
    </w:p>
    <w:p w14:paraId="357AB186" w14:textId="77777777" w:rsidR="00CE4B56" w:rsidRPr="001178F9" w:rsidRDefault="00CE4B56" w:rsidP="00A6733C">
      <w:pPr>
        <w:spacing w:after="0" w:line="276" w:lineRule="auto"/>
        <w:jc w:val="both"/>
        <w:rPr>
          <w:sz w:val="22"/>
          <w:szCs w:val="22"/>
          <w:lang w:val="en-GB"/>
        </w:rPr>
      </w:pPr>
    </w:p>
    <w:p w14:paraId="4C6A9E07" w14:textId="76435859" w:rsidR="001178F9" w:rsidRPr="001178F9" w:rsidRDefault="001178F9" w:rsidP="00A6733C">
      <w:pPr>
        <w:spacing w:after="0" w:line="276" w:lineRule="auto"/>
        <w:jc w:val="both"/>
        <w:rPr>
          <w:sz w:val="22"/>
          <w:szCs w:val="22"/>
          <w:lang w:val="en-GB"/>
        </w:rPr>
      </w:pPr>
      <w:r w:rsidRPr="001178F9">
        <w:rPr>
          <w:sz w:val="22"/>
          <w:szCs w:val="22"/>
          <w:lang w:val="en-GB"/>
        </w:rPr>
        <w:t>In the case of secondary investments into target funds, to identify Sustainability Risks and seek to avoid potentially high-risk Secondary Investments, the Manager considers whether target fund Investments could include illegal or potentially harmful products and services or business practices:</w:t>
      </w:r>
    </w:p>
    <w:p w14:paraId="313D5C6B" w14:textId="77777777" w:rsidR="001178F9" w:rsidRPr="001178F9" w:rsidRDefault="001178F9" w:rsidP="00A6733C">
      <w:pPr>
        <w:spacing w:after="0" w:line="276" w:lineRule="auto"/>
        <w:ind w:left="720" w:hanging="720"/>
        <w:jc w:val="both"/>
        <w:rPr>
          <w:sz w:val="22"/>
          <w:szCs w:val="22"/>
          <w:lang w:val="en-GB"/>
        </w:rPr>
      </w:pPr>
      <w:r w:rsidRPr="001178F9">
        <w:rPr>
          <w:sz w:val="22"/>
          <w:szCs w:val="22"/>
          <w:lang w:val="en-GB"/>
        </w:rPr>
        <w:t>(</w:t>
      </w:r>
      <w:proofErr w:type="spellStart"/>
      <w:r w:rsidRPr="001178F9">
        <w:rPr>
          <w:sz w:val="22"/>
          <w:szCs w:val="22"/>
          <w:lang w:val="en-GB"/>
        </w:rPr>
        <w:t>i</w:t>
      </w:r>
      <w:proofErr w:type="spellEnd"/>
      <w:r w:rsidRPr="001178F9">
        <w:rPr>
          <w:sz w:val="22"/>
          <w:szCs w:val="22"/>
          <w:lang w:val="en-GB"/>
        </w:rPr>
        <w:t>)</w:t>
      </w:r>
      <w:r w:rsidRPr="001178F9">
        <w:rPr>
          <w:sz w:val="22"/>
          <w:szCs w:val="22"/>
          <w:lang w:val="en-GB"/>
        </w:rPr>
        <w:tab/>
        <w:t>Harmful products generally include those that are threatening to human health, such as tobacco and firearms;</w:t>
      </w:r>
    </w:p>
    <w:p w14:paraId="1A0F419A" w14:textId="6E9094B0" w:rsidR="001178F9" w:rsidRPr="001178F9" w:rsidRDefault="001178F9" w:rsidP="00A6733C">
      <w:pPr>
        <w:spacing w:after="0" w:line="276" w:lineRule="auto"/>
        <w:ind w:left="720" w:hanging="720"/>
        <w:jc w:val="both"/>
        <w:rPr>
          <w:sz w:val="22"/>
          <w:szCs w:val="22"/>
          <w:lang w:val="en-GB"/>
        </w:rPr>
      </w:pPr>
      <w:r w:rsidRPr="001178F9">
        <w:rPr>
          <w:sz w:val="22"/>
          <w:szCs w:val="22"/>
          <w:lang w:val="en-GB"/>
        </w:rPr>
        <w:t>(ii)</w:t>
      </w:r>
      <w:r w:rsidRPr="001178F9">
        <w:rPr>
          <w:sz w:val="22"/>
          <w:szCs w:val="22"/>
          <w:lang w:val="en-GB"/>
        </w:rPr>
        <w:tab/>
        <w:t xml:space="preserve">Harmful services often target vulnerable populations or resources, such as gambling or </w:t>
      </w:r>
      <w:r w:rsidR="002D3C57">
        <w:rPr>
          <w:sz w:val="22"/>
          <w:szCs w:val="22"/>
          <w:lang w:val="en-GB"/>
        </w:rPr>
        <w:t>fossil fuel exploration</w:t>
      </w:r>
      <w:r w:rsidRPr="001178F9">
        <w:rPr>
          <w:sz w:val="22"/>
          <w:szCs w:val="22"/>
          <w:lang w:val="en-GB"/>
        </w:rPr>
        <w:t>;</w:t>
      </w:r>
    </w:p>
    <w:p w14:paraId="5654646C" w14:textId="10A14ACB" w:rsidR="001178F9" w:rsidRPr="001178F9" w:rsidRDefault="001178F9" w:rsidP="00A6733C">
      <w:pPr>
        <w:spacing w:after="0" w:line="276" w:lineRule="auto"/>
        <w:ind w:left="720" w:hanging="720"/>
        <w:jc w:val="both"/>
        <w:rPr>
          <w:sz w:val="22"/>
          <w:szCs w:val="22"/>
          <w:lang w:val="en-GB"/>
        </w:rPr>
      </w:pPr>
      <w:r w:rsidRPr="001178F9">
        <w:rPr>
          <w:sz w:val="22"/>
          <w:szCs w:val="22"/>
          <w:lang w:val="en-GB"/>
        </w:rPr>
        <w:t>(iii)</w:t>
      </w:r>
      <w:r w:rsidRPr="001178F9">
        <w:rPr>
          <w:sz w:val="22"/>
          <w:szCs w:val="22"/>
          <w:lang w:val="en-GB"/>
        </w:rPr>
        <w:tab/>
        <w:t>Harmful business practices may be unfair, deceptive, or threatening, such as bribery and corruption, irresponsible deforestation, or forced labor and child labor in supply chains.</w:t>
      </w:r>
    </w:p>
    <w:p w14:paraId="73B4818B" w14:textId="77777777" w:rsidR="001A224E" w:rsidRDefault="001A224E" w:rsidP="00A6733C">
      <w:pPr>
        <w:spacing w:after="0" w:line="276" w:lineRule="auto"/>
        <w:jc w:val="both"/>
        <w:rPr>
          <w:sz w:val="22"/>
          <w:szCs w:val="22"/>
          <w:lang w:val="en-GB"/>
        </w:rPr>
      </w:pPr>
    </w:p>
    <w:p w14:paraId="56C35110" w14:textId="6EDAADE0" w:rsidR="001178F9" w:rsidRDefault="001178F9" w:rsidP="00A6733C">
      <w:pPr>
        <w:spacing w:after="0" w:line="276" w:lineRule="auto"/>
        <w:jc w:val="both"/>
        <w:rPr>
          <w:sz w:val="22"/>
          <w:szCs w:val="22"/>
          <w:lang w:val="en-GB"/>
        </w:rPr>
      </w:pPr>
      <w:r w:rsidRPr="001178F9">
        <w:rPr>
          <w:sz w:val="22"/>
          <w:szCs w:val="22"/>
          <w:lang w:val="en-GB"/>
        </w:rPr>
        <w:t>The Manager will, where possible, evaluate the strength of an underlying manager’s approach to ESG integration and engage in potential mitigation measures, if needed.</w:t>
      </w:r>
    </w:p>
    <w:p w14:paraId="564D584B" w14:textId="77777777" w:rsidR="001A224E" w:rsidRDefault="001A224E" w:rsidP="00A6733C">
      <w:pPr>
        <w:spacing w:after="0" w:line="276" w:lineRule="auto"/>
        <w:jc w:val="both"/>
        <w:rPr>
          <w:sz w:val="22"/>
          <w:szCs w:val="22"/>
          <w:lang w:val="en-GB"/>
        </w:rPr>
      </w:pPr>
    </w:p>
    <w:p w14:paraId="77C9666A" w14:textId="70412111" w:rsidR="00B62810" w:rsidRDefault="00B62810" w:rsidP="00A6733C">
      <w:pPr>
        <w:spacing w:after="0" w:line="276" w:lineRule="auto"/>
        <w:jc w:val="both"/>
        <w:rPr>
          <w:sz w:val="22"/>
          <w:szCs w:val="22"/>
          <w:lang w:val="en-GB"/>
        </w:rPr>
      </w:pPr>
      <w:r w:rsidRPr="00B62810">
        <w:rPr>
          <w:sz w:val="22"/>
          <w:szCs w:val="22"/>
          <w:lang w:val="en-GB"/>
        </w:rPr>
        <w:t xml:space="preserve">The Fund has a private market strategy aiming at both generating positive financial return and at achieving positive social </w:t>
      </w:r>
      <w:r w:rsidR="004951A8">
        <w:rPr>
          <w:sz w:val="22"/>
          <w:szCs w:val="22"/>
          <w:lang w:val="en-GB"/>
        </w:rPr>
        <w:t xml:space="preserve">and environmental </w:t>
      </w:r>
      <w:r w:rsidRPr="00B62810">
        <w:rPr>
          <w:sz w:val="22"/>
          <w:szCs w:val="22"/>
          <w:lang w:val="en-GB"/>
        </w:rPr>
        <w:t>impact, as framed by the SDGs. To achieve these objectives, the Fund integrates impact considerations throughout the investment lifecycle, including a best-in-class impact assessment and reporting methodology.</w:t>
      </w:r>
    </w:p>
    <w:p w14:paraId="0D9E71A1" w14:textId="77777777" w:rsidR="001A224E" w:rsidRPr="00B62810" w:rsidRDefault="001A224E" w:rsidP="00A6733C">
      <w:pPr>
        <w:spacing w:after="0" w:line="276" w:lineRule="auto"/>
        <w:jc w:val="both"/>
        <w:rPr>
          <w:sz w:val="22"/>
          <w:szCs w:val="22"/>
          <w:lang w:val="en-GB"/>
        </w:rPr>
      </w:pPr>
    </w:p>
    <w:p w14:paraId="13F4FB36" w14:textId="1279E90F" w:rsidR="00B62810" w:rsidRDefault="00B62810" w:rsidP="00A6733C">
      <w:pPr>
        <w:spacing w:after="0" w:line="276" w:lineRule="auto"/>
        <w:jc w:val="both"/>
        <w:rPr>
          <w:sz w:val="22"/>
          <w:szCs w:val="22"/>
          <w:lang w:val="en-GB"/>
        </w:rPr>
      </w:pPr>
      <w:r w:rsidRPr="00B62810">
        <w:rPr>
          <w:sz w:val="22"/>
          <w:szCs w:val="22"/>
          <w:lang w:val="en-GB"/>
        </w:rPr>
        <w:t xml:space="preserve">Target companies and assets are selected only after thorough impact assessment, during both deal sourcing and due diligence for their potential to generate positive SDG-relevant environmental and social impacts. The results of impact assessments are considered by the Fund as one of the key factors in deciding whether or not to invest. </w:t>
      </w:r>
    </w:p>
    <w:p w14:paraId="69EEA76F" w14:textId="77777777" w:rsidR="001A224E" w:rsidRPr="00B62810" w:rsidRDefault="001A224E" w:rsidP="00A6733C">
      <w:pPr>
        <w:spacing w:after="0" w:line="276" w:lineRule="auto"/>
        <w:jc w:val="both"/>
        <w:rPr>
          <w:sz w:val="22"/>
          <w:szCs w:val="22"/>
          <w:lang w:val="en-GB"/>
        </w:rPr>
      </w:pPr>
    </w:p>
    <w:p w14:paraId="577644B9" w14:textId="039A3601" w:rsidR="00B62810" w:rsidRDefault="00B62810" w:rsidP="00A6733C">
      <w:pPr>
        <w:spacing w:after="0" w:line="276" w:lineRule="auto"/>
        <w:jc w:val="both"/>
        <w:rPr>
          <w:sz w:val="22"/>
          <w:szCs w:val="22"/>
          <w:lang w:val="en-GB"/>
        </w:rPr>
      </w:pPr>
      <w:r w:rsidRPr="00B62810">
        <w:rPr>
          <w:sz w:val="22"/>
          <w:szCs w:val="22"/>
          <w:lang w:val="en-GB"/>
        </w:rPr>
        <w:t>Impact-related metrics are monitored throughout the ownership and reported in annual impact reports. Upon exit, thorough consideration is given on how the impact mission can be protected under a new ownership structure. The Fund will integrate learnings on how to create and sustain impact into new and existing impact Investments.</w:t>
      </w:r>
    </w:p>
    <w:p w14:paraId="4E166E53" w14:textId="77777777" w:rsidR="001A224E" w:rsidRPr="00B62810" w:rsidRDefault="001A224E" w:rsidP="00A6733C">
      <w:pPr>
        <w:spacing w:after="0" w:line="276" w:lineRule="auto"/>
        <w:jc w:val="both"/>
        <w:rPr>
          <w:sz w:val="22"/>
          <w:szCs w:val="22"/>
          <w:lang w:val="en-GB"/>
        </w:rPr>
      </w:pPr>
    </w:p>
    <w:p w14:paraId="3893332D" w14:textId="4D933534" w:rsidR="00B62810" w:rsidRDefault="00B62810" w:rsidP="00A6733C">
      <w:pPr>
        <w:spacing w:after="0" w:line="276" w:lineRule="auto"/>
        <w:jc w:val="both"/>
        <w:rPr>
          <w:sz w:val="22"/>
          <w:szCs w:val="22"/>
          <w:lang w:val="en-GB"/>
        </w:rPr>
      </w:pPr>
      <w:r w:rsidRPr="00B62810">
        <w:rPr>
          <w:sz w:val="22"/>
          <w:szCs w:val="22"/>
          <w:lang w:val="en-GB"/>
        </w:rPr>
        <w:t xml:space="preserve">The Manager invests in the growth of attractive social enterprises with a proven business model, high development potential and a measurable and scalable social/environmental impact. The Manager flexibly invests through equity and debt structures. Depending on the </w:t>
      </w:r>
      <w:r w:rsidR="00FD70CB">
        <w:rPr>
          <w:sz w:val="22"/>
          <w:szCs w:val="22"/>
          <w:lang w:val="en-GB"/>
        </w:rPr>
        <w:t>F</w:t>
      </w:r>
      <w:r w:rsidRPr="00B62810">
        <w:rPr>
          <w:sz w:val="22"/>
          <w:szCs w:val="22"/>
          <w:lang w:val="en-GB"/>
        </w:rPr>
        <w:t>und’s role</w:t>
      </w:r>
      <w:r w:rsidR="00FD70CB">
        <w:rPr>
          <w:sz w:val="22"/>
          <w:szCs w:val="22"/>
          <w:lang w:val="en-GB"/>
        </w:rPr>
        <w:t xml:space="preserve"> as investor</w:t>
      </w:r>
      <w:r w:rsidRPr="00B62810">
        <w:rPr>
          <w:sz w:val="22"/>
          <w:szCs w:val="22"/>
          <w:lang w:val="en-GB"/>
        </w:rPr>
        <w:t>, it works closely with the respective management teams throughout the life of the Investments to achieve the growth, value and impact creation targets.</w:t>
      </w:r>
    </w:p>
    <w:p w14:paraId="236CD792" w14:textId="77777777" w:rsidR="001A224E" w:rsidRPr="00B62810" w:rsidRDefault="001A224E" w:rsidP="00A6733C">
      <w:pPr>
        <w:spacing w:after="0" w:line="276" w:lineRule="auto"/>
        <w:jc w:val="both"/>
        <w:rPr>
          <w:sz w:val="22"/>
          <w:szCs w:val="22"/>
          <w:lang w:val="en-GB"/>
        </w:rPr>
      </w:pPr>
    </w:p>
    <w:p w14:paraId="7E0AD0F8" w14:textId="2196C10D" w:rsidR="00B62810" w:rsidRDefault="00B62810" w:rsidP="00A6733C">
      <w:pPr>
        <w:spacing w:after="0" w:line="276" w:lineRule="auto"/>
        <w:jc w:val="both"/>
        <w:rPr>
          <w:sz w:val="22"/>
          <w:szCs w:val="22"/>
          <w:lang w:val="en-GB"/>
        </w:rPr>
      </w:pPr>
      <w:r w:rsidRPr="00B62810">
        <w:rPr>
          <w:sz w:val="22"/>
          <w:szCs w:val="22"/>
          <w:lang w:val="en-GB"/>
        </w:rPr>
        <w:t>The Manager complements its Direct Investments with commitments to select impact investment managers. Through a flexible combination of these investment strategies, the Fund benefits from specialist sector and market know-how and build a more diversified, global impact investment portfolio.</w:t>
      </w:r>
    </w:p>
    <w:p w14:paraId="2F78CE5D" w14:textId="77777777" w:rsidR="001A224E" w:rsidRPr="00B62810" w:rsidRDefault="001A224E" w:rsidP="00A6733C">
      <w:pPr>
        <w:spacing w:after="0" w:line="276" w:lineRule="auto"/>
        <w:jc w:val="both"/>
        <w:rPr>
          <w:sz w:val="22"/>
          <w:szCs w:val="22"/>
          <w:lang w:val="en-GB"/>
        </w:rPr>
      </w:pPr>
    </w:p>
    <w:p w14:paraId="10AC1D83" w14:textId="489199EE" w:rsidR="00B62810" w:rsidRDefault="00B62810" w:rsidP="00A6733C">
      <w:pPr>
        <w:spacing w:after="0" w:line="276" w:lineRule="auto"/>
        <w:jc w:val="both"/>
        <w:rPr>
          <w:sz w:val="22"/>
          <w:szCs w:val="22"/>
          <w:lang w:val="en-GB"/>
        </w:rPr>
      </w:pPr>
      <w:r w:rsidRPr="00B62810">
        <w:rPr>
          <w:sz w:val="22"/>
          <w:szCs w:val="22"/>
          <w:lang w:val="en-GB"/>
        </w:rPr>
        <w:t xml:space="preserve">The Fund invests across all impact sectors while prioritizing financial inclusion, affordable housing, energy access, food &amp; agriculture, healthcare and education. Investment strategies are defined for </w:t>
      </w:r>
      <w:r w:rsidRPr="00B62810">
        <w:rPr>
          <w:sz w:val="22"/>
          <w:szCs w:val="22"/>
          <w:lang w:val="en-GB"/>
        </w:rPr>
        <w:lastRenderedPageBreak/>
        <w:t xml:space="preserve">each priority sector on the basis of the long-term viability of business models, growth/value-creation opportunities, as well as scale and depth of impact. </w:t>
      </w:r>
    </w:p>
    <w:p w14:paraId="14CB18A1" w14:textId="77777777" w:rsidR="001A224E" w:rsidRPr="00B62810" w:rsidRDefault="001A224E" w:rsidP="00A6733C">
      <w:pPr>
        <w:spacing w:after="0" w:line="276" w:lineRule="auto"/>
        <w:jc w:val="both"/>
        <w:rPr>
          <w:sz w:val="22"/>
          <w:szCs w:val="22"/>
          <w:lang w:val="en-GB"/>
        </w:rPr>
      </w:pPr>
    </w:p>
    <w:p w14:paraId="75BE027D" w14:textId="4D41D6E4" w:rsidR="001178F9" w:rsidRDefault="00B62810" w:rsidP="00A6733C">
      <w:pPr>
        <w:spacing w:after="0" w:line="276" w:lineRule="auto"/>
        <w:jc w:val="both"/>
        <w:rPr>
          <w:sz w:val="22"/>
          <w:szCs w:val="22"/>
          <w:lang w:val="en-GB"/>
        </w:rPr>
      </w:pPr>
      <w:r w:rsidRPr="00B62810">
        <w:rPr>
          <w:sz w:val="22"/>
          <w:szCs w:val="22"/>
          <w:lang w:val="en-GB"/>
        </w:rPr>
        <w:t>The Manager operates a comprehensive and sophisticated investment process to identify and invest in the most attractive impact investment opportunities. This process is consistently applied across all investment opportunities, ensuring the assessment and management of any social and/or environmental impact forms an integral part of the investment process.</w:t>
      </w:r>
    </w:p>
    <w:p w14:paraId="71DDBCE5" w14:textId="77777777" w:rsidR="004A5000" w:rsidRPr="00585CEC" w:rsidRDefault="004A5000" w:rsidP="00A6733C">
      <w:pPr>
        <w:spacing w:after="0" w:line="276" w:lineRule="auto"/>
        <w:jc w:val="both"/>
        <w:rPr>
          <w:sz w:val="22"/>
          <w:szCs w:val="22"/>
          <w:lang w:val="en-GB"/>
        </w:rPr>
      </w:pPr>
    </w:p>
    <w:p w14:paraId="506B9A4E" w14:textId="77777777" w:rsidR="000429F9" w:rsidRPr="00585CEC" w:rsidRDefault="000429F9" w:rsidP="00A6733C">
      <w:pPr>
        <w:pStyle w:val="ListParagraph"/>
        <w:numPr>
          <w:ilvl w:val="0"/>
          <w:numId w:val="37"/>
        </w:numPr>
        <w:spacing w:after="0" w:line="276" w:lineRule="auto"/>
        <w:jc w:val="both"/>
        <w:rPr>
          <w:sz w:val="22"/>
          <w:szCs w:val="22"/>
          <w:lang w:val="en-GB"/>
        </w:rPr>
      </w:pPr>
      <w:r w:rsidRPr="00585CEC">
        <w:rPr>
          <w:sz w:val="22"/>
          <w:szCs w:val="22"/>
          <w:lang w:val="en-GB"/>
        </w:rPr>
        <w:t xml:space="preserve">Sourcing </w:t>
      </w:r>
    </w:p>
    <w:p w14:paraId="11A7C788" w14:textId="58EA6F40" w:rsidR="000429F9" w:rsidRDefault="000429F9" w:rsidP="00A6733C">
      <w:pPr>
        <w:spacing w:after="0" w:line="276" w:lineRule="auto"/>
        <w:jc w:val="both"/>
        <w:rPr>
          <w:sz w:val="22"/>
          <w:szCs w:val="22"/>
          <w:lang w:val="en-GB"/>
        </w:rPr>
      </w:pPr>
      <w:r w:rsidRPr="00585CEC">
        <w:rPr>
          <w:sz w:val="22"/>
          <w:szCs w:val="22"/>
          <w:lang w:val="en-GB"/>
        </w:rPr>
        <w:t>The Manager defines specific impact themes for each Investment Strategy, based on the societal challenges a specific Investment Strategy aims to address. For each investment theme, the Manager proactively sources investment opportunities globally by means of the internal teams, network of social entrepreneurs, industry experts and platforms, impact investment managers and the local teams of Partners Group's global offices. To benchmark the global investment opportunity set, the Manager identifies those areas with the greatest potential for financial and social</w:t>
      </w:r>
      <w:r w:rsidR="00DF4F47">
        <w:rPr>
          <w:sz w:val="22"/>
          <w:szCs w:val="22"/>
          <w:lang w:val="en-GB"/>
        </w:rPr>
        <w:t>/environmental</w:t>
      </w:r>
      <w:r w:rsidRPr="00585CEC">
        <w:rPr>
          <w:sz w:val="22"/>
          <w:szCs w:val="22"/>
          <w:lang w:val="en-GB"/>
        </w:rPr>
        <w:t xml:space="preserve"> return</w:t>
      </w:r>
      <w:r w:rsidR="009D59CA">
        <w:rPr>
          <w:sz w:val="22"/>
          <w:szCs w:val="22"/>
          <w:lang w:val="en-GB"/>
        </w:rPr>
        <w:t>s</w:t>
      </w:r>
      <w:r w:rsidRPr="00585CEC">
        <w:rPr>
          <w:sz w:val="22"/>
          <w:szCs w:val="22"/>
          <w:lang w:val="en-GB"/>
        </w:rPr>
        <w:t xml:space="preserve"> in the prevailing market environment and defines the sectors, regions and strategies likely to offer higher investment value and impact relative to other segments. Based on the opportunity set available, the Manager defines the most appropriate investment approach to achieve the targeted outcomes and risk-adjusted returns.</w:t>
      </w:r>
    </w:p>
    <w:p w14:paraId="5F11CAA1" w14:textId="77777777" w:rsidR="004A5000" w:rsidRPr="00585CEC" w:rsidRDefault="004A5000" w:rsidP="00A6733C">
      <w:pPr>
        <w:spacing w:after="0" w:line="276" w:lineRule="auto"/>
        <w:jc w:val="both"/>
        <w:rPr>
          <w:sz w:val="22"/>
          <w:szCs w:val="22"/>
          <w:lang w:val="en-GB"/>
        </w:rPr>
      </w:pPr>
    </w:p>
    <w:p w14:paraId="6C9E74EF" w14:textId="73E8E7A8" w:rsidR="000429F9" w:rsidRPr="00585CEC" w:rsidRDefault="000429F9" w:rsidP="00A6733C">
      <w:pPr>
        <w:pStyle w:val="ListParagraph"/>
        <w:numPr>
          <w:ilvl w:val="0"/>
          <w:numId w:val="37"/>
        </w:numPr>
        <w:spacing w:after="0" w:line="276" w:lineRule="auto"/>
        <w:jc w:val="both"/>
        <w:rPr>
          <w:sz w:val="22"/>
          <w:szCs w:val="22"/>
          <w:lang w:val="en-GB"/>
        </w:rPr>
      </w:pPr>
      <w:r w:rsidRPr="00585CEC">
        <w:rPr>
          <w:sz w:val="22"/>
          <w:szCs w:val="22"/>
          <w:lang w:val="en-GB"/>
        </w:rPr>
        <w:t>Due Diligence</w:t>
      </w:r>
    </w:p>
    <w:p w14:paraId="067731F0" w14:textId="77777777" w:rsidR="00B62810" w:rsidRPr="00B62810" w:rsidRDefault="00B62810" w:rsidP="00A6733C">
      <w:pPr>
        <w:spacing w:after="0" w:line="276" w:lineRule="auto"/>
        <w:jc w:val="both"/>
        <w:rPr>
          <w:sz w:val="22"/>
          <w:szCs w:val="22"/>
          <w:lang w:val="en-GB"/>
        </w:rPr>
      </w:pPr>
      <w:r w:rsidRPr="00B62810">
        <w:rPr>
          <w:sz w:val="22"/>
          <w:szCs w:val="22"/>
          <w:lang w:val="en-GB"/>
        </w:rPr>
        <w:t xml:space="preserve">During the due diligence process, the Fund undertakes the following steps: </w:t>
      </w:r>
    </w:p>
    <w:p w14:paraId="36A8DD94" w14:textId="45240BE2" w:rsidR="009B7C34" w:rsidRPr="00267235" w:rsidRDefault="00B62810" w:rsidP="00A6733C">
      <w:pPr>
        <w:pStyle w:val="ListParagraph"/>
        <w:numPr>
          <w:ilvl w:val="0"/>
          <w:numId w:val="38"/>
        </w:numPr>
        <w:spacing w:after="0" w:line="276" w:lineRule="auto"/>
        <w:jc w:val="both"/>
        <w:rPr>
          <w:sz w:val="22"/>
          <w:szCs w:val="22"/>
          <w:lang w:val="en-GB"/>
        </w:rPr>
      </w:pPr>
      <w:r w:rsidRPr="00B62810">
        <w:rPr>
          <w:sz w:val="22"/>
          <w:szCs w:val="22"/>
          <w:lang w:val="en-GB"/>
        </w:rPr>
        <w:t xml:space="preserve">Assessment of </w:t>
      </w:r>
      <w:r w:rsidR="009B7C34">
        <w:rPr>
          <w:sz w:val="22"/>
          <w:szCs w:val="22"/>
          <w:lang w:val="en-GB"/>
        </w:rPr>
        <w:t>T</w:t>
      </w:r>
      <w:r w:rsidRPr="00B62810">
        <w:rPr>
          <w:sz w:val="22"/>
          <w:szCs w:val="22"/>
          <w:lang w:val="en-GB"/>
        </w:rPr>
        <w:t xml:space="preserve">arget </w:t>
      </w:r>
      <w:r w:rsidR="009B7C34">
        <w:rPr>
          <w:sz w:val="22"/>
          <w:szCs w:val="22"/>
          <w:lang w:val="en-GB"/>
        </w:rPr>
        <w:t>I</w:t>
      </w:r>
      <w:r w:rsidRPr="00B62810">
        <w:rPr>
          <w:sz w:val="22"/>
          <w:szCs w:val="22"/>
          <w:lang w:val="en-GB"/>
        </w:rPr>
        <w:t xml:space="preserve">nvestments against the Fund’s impact criteria as well as potential contribution and undertaking of overall impact assessment; </w:t>
      </w:r>
    </w:p>
    <w:p w14:paraId="693FDA82" w14:textId="12E8BED0" w:rsidR="009B7C34" w:rsidRPr="00267235" w:rsidRDefault="00B62810" w:rsidP="00A6733C">
      <w:pPr>
        <w:pStyle w:val="ListParagraph"/>
        <w:numPr>
          <w:ilvl w:val="0"/>
          <w:numId w:val="38"/>
        </w:numPr>
        <w:spacing w:after="0" w:line="276" w:lineRule="auto"/>
        <w:jc w:val="both"/>
        <w:rPr>
          <w:sz w:val="22"/>
          <w:szCs w:val="22"/>
          <w:lang w:val="en-GB"/>
        </w:rPr>
      </w:pPr>
      <w:r w:rsidRPr="00B62810">
        <w:rPr>
          <w:sz w:val="22"/>
          <w:szCs w:val="22"/>
          <w:lang w:val="en-GB"/>
        </w:rPr>
        <w:t xml:space="preserve">ESG assessment framework to identify and manage ESG risks and opportunities. All ESG risks are classified and addressed for each Direct Investment. The Manager negotiates responsible investment standards into legal documentation and strives to monitor its </w:t>
      </w:r>
      <w:r w:rsidR="009B7C34">
        <w:rPr>
          <w:sz w:val="22"/>
          <w:szCs w:val="22"/>
          <w:lang w:val="en-GB"/>
        </w:rPr>
        <w:t>I</w:t>
      </w:r>
      <w:r w:rsidRPr="00B62810">
        <w:rPr>
          <w:sz w:val="22"/>
          <w:szCs w:val="22"/>
          <w:lang w:val="en-GB"/>
        </w:rPr>
        <w:t>nvestments on an ongoing basis to ensure that any potential ESG or reputational issues are quickly identified and properly managed;</w:t>
      </w:r>
    </w:p>
    <w:p w14:paraId="249D9E8A" w14:textId="6B4C8B9D" w:rsidR="009B7C34" w:rsidRPr="00267235" w:rsidRDefault="00B62810" w:rsidP="00A6733C">
      <w:pPr>
        <w:pStyle w:val="ListParagraph"/>
        <w:numPr>
          <w:ilvl w:val="0"/>
          <w:numId w:val="38"/>
        </w:numPr>
        <w:spacing w:after="0" w:line="276" w:lineRule="auto"/>
        <w:jc w:val="both"/>
        <w:rPr>
          <w:sz w:val="22"/>
          <w:szCs w:val="22"/>
          <w:lang w:val="en-GB"/>
        </w:rPr>
      </w:pPr>
      <w:r w:rsidRPr="00B62810">
        <w:rPr>
          <w:sz w:val="22"/>
          <w:szCs w:val="22"/>
          <w:lang w:val="en-GB"/>
        </w:rPr>
        <w:t xml:space="preserve">Development of a logic model to map out how the </w:t>
      </w:r>
      <w:r w:rsidR="009B7C34">
        <w:rPr>
          <w:sz w:val="22"/>
          <w:szCs w:val="22"/>
          <w:lang w:val="en-GB"/>
        </w:rPr>
        <w:t>T</w:t>
      </w:r>
      <w:r w:rsidRPr="00B62810">
        <w:rPr>
          <w:sz w:val="22"/>
          <w:szCs w:val="22"/>
          <w:lang w:val="en-GB"/>
        </w:rPr>
        <w:t xml:space="preserve">arget </w:t>
      </w:r>
      <w:r w:rsidR="009B7C34">
        <w:rPr>
          <w:sz w:val="22"/>
          <w:szCs w:val="22"/>
          <w:lang w:val="en-GB"/>
        </w:rPr>
        <w:t>I</w:t>
      </w:r>
      <w:r w:rsidRPr="00B62810">
        <w:rPr>
          <w:sz w:val="22"/>
          <w:szCs w:val="22"/>
          <w:lang w:val="en-GB"/>
        </w:rPr>
        <w:t>nvestments’ products and services may lead to outputs, outcomes and how society experiences the impacts generated by the activities of a company or asset, both positive and negative;</w:t>
      </w:r>
    </w:p>
    <w:p w14:paraId="20E5BD22" w14:textId="7294FB98" w:rsidR="009B7C34" w:rsidRPr="00267235" w:rsidRDefault="00B62810" w:rsidP="00A6733C">
      <w:pPr>
        <w:pStyle w:val="ListParagraph"/>
        <w:numPr>
          <w:ilvl w:val="0"/>
          <w:numId w:val="38"/>
        </w:numPr>
        <w:spacing w:after="0" w:line="276" w:lineRule="auto"/>
        <w:jc w:val="both"/>
        <w:rPr>
          <w:sz w:val="22"/>
          <w:szCs w:val="22"/>
          <w:lang w:val="en-GB"/>
        </w:rPr>
      </w:pPr>
      <w:r w:rsidRPr="00B62810">
        <w:rPr>
          <w:sz w:val="22"/>
          <w:szCs w:val="22"/>
          <w:lang w:val="en-GB"/>
        </w:rPr>
        <w:t>Identification of appropriate impact related metrics for impact measurement and ongoing reporting. Where relevant and helpful, the Fund aligns impact metrics with the Global Impact Investment Network’s IRIS</w:t>
      </w:r>
      <w:r w:rsidR="00267235">
        <w:rPr>
          <w:sz w:val="22"/>
          <w:szCs w:val="22"/>
          <w:lang w:val="en-GB"/>
        </w:rPr>
        <w:t>; and</w:t>
      </w:r>
    </w:p>
    <w:p w14:paraId="71B65DE5" w14:textId="4288EC96" w:rsidR="00AC41F4" w:rsidRDefault="00B62810" w:rsidP="00A6733C">
      <w:pPr>
        <w:pStyle w:val="ListParagraph"/>
        <w:numPr>
          <w:ilvl w:val="0"/>
          <w:numId w:val="38"/>
        </w:numPr>
        <w:spacing w:after="0" w:line="276" w:lineRule="auto"/>
        <w:jc w:val="both"/>
        <w:rPr>
          <w:sz w:val="22"/>
          <w:szCs w:val="22"/>
          <w:lang w:val="en-GB"/>
        </w:rPr>
      </w:pPr>
      <w:r w:rsidRPr="00B62810">
        <w:rPr>
          <w:sz w:val="22"/>
          <w:szCs w:val="22"/>
          <w:lang w:val="en-GB"/>
        </w:rPr>
        <w:t xml:space="preserve">Alignment of the impact targets, ESG risks </w:t>
      </w:r>
      <w:proofErr w:type="gramStart"/>
      <w:r w:rsidRPr="00B62810">
        <w:rPr>
          <w:sz w:val="22"/>
          <w:szCs w:val="22"/>
          <w:lang w:val="en-GB"/>
        </w:rPr>
        <w:t>to be</w:t>
      </w:r>
      <w:proofErr w:type="gramEnd"/>
      <w:r w:rsidRPr="00B62810">
        <w:rPr>
          <w:sz w:val="22"/>
          <w:szCs w:val="22"/>
          <w:lang w:val="en-GB"/>
        </w:rPr>
        <w:t xml:space="preserve"> addressed, measurements and reporting standards with the management.</w:t>
      </w:r>
    </w:p>
    <w:p w14:paraId="60664522" w14:textId="77777777" w:rsidR="000429F9" w:rsidRPr="00AC41F4" w:rsidRDefault="000429F9" w:rsidP="00A6733C">
      <w:pPr>
        <w:pStyle w:val="ListParagraph"/>
        <w:spacing w:after="0" w:line="276" w:lineRule="auto"/>
        <w:jc w:val="both"/>
        <w:rPr>
          <w:sz w:val="22"/>
          <w:szCs w:val="22"/>
          <w:lang w:val="en-GB"/>
        </w:rPr>
      </w:pPr>
    </w:p>
    <w:p w14:paraId="4E770F2E" w14:textId="77777777" w:rsidR="000429F9" w:rsidRPr="00585CEC" w:rsidRDefault="000429F9" w:rsidP="00A6733C">
      <w:pPr>
        <w:pStyle w:val="ListParagraph"/>
        <w:numPr>
          <w:ilvl w:val="0"/>
          <w:numId w:val="37"/>
        </w:numPr>
        <w:spacing w:after="0" w:line="276" w:lineRule="auto"/>
        <w:jc w:val="both"/>
        <w:rPr>
          <w:sz w:val="22"/>
          <w:szCs w:val="22"/>
          <w:lang w:val="en-GB"/>
        </w:rPr>
      </w:pPr>
      <w:r w:rsidRPr="00585CEC">
        <w:rPr>
          <w:sz w:val="22"/>
          <w:szCs w:val="22"/>
          <w:lang w:val="en-GB"/>
        </w:rPr>
        <w:t>Ownership</w:t>
      </w:r>
    </w:p>
    <w:p w14:paraId="25442477" w14:textId="77777777" w:rsidR="00B62810" w:rsidRPr="00B62810" w:rsidRDefault="00B62810" w:rsidP="00A6733C">
      <w:pPr>
        <w:spacing w:after="0" w:line="276" w:lineRule="auto"/>
        <w:jc w:val="both"/>
        <w:rPr>
          <w:sz w:val="22"/>
          <w:szCs w:val="22"/>
          <w:lang w:val="en-GB"/>
        </w:rPr>
      </w:pPr>
      <w:r w:rsidRPr="00B62810">
        <w:rPr>
          <w:sz w:val="22"/>
          <w:szCs w:val="22"/>
          <w:lang w:val="en-GB"/>
        </w:rPr>
        <w:t>The Fund continues to integrate impact considerations throughout the holding period by:</w:t>
      </w:r>
    </w:p>
    <w:p w14:paraId="4237B1B0" w14:textId="08E24B44" w:rsidR="00B62810" w:rsidRPr="00B62810" w:rsidRDefault="00B62810" w:rsidP="00A6733C">
      <w:pPr>
        <w:pStyle w:val="ListParagraph"/>
        <w:numPr>
          <w:ilvl w:val="0"/>
          <w:numId w:val="39"/>
        </w:numPr>
        <w:spacing w:after="0" w:line="276" w:lineRule="auto"/>
        <w:jc w:val="both"/>
        <w:rPr>
          <w:sz w:val="22"/>
          <w:szCs w:val="22"/>
          <w:lang w:val="en-GB"/>
        </w:rPr>
      </w:pPr>
      <w:r w:rsidRPr="00B62810">
        <w:rPr>
          <w:sz w:val="22"/>
          <w:szCs w:val="22"/>
          <w:lang w:val="en-GB"/>
        </w:rPr>
        <w:t xml:space="preserve">pro-actively monitoring the impact generated against plan, and (where possible and meaningful) engaging with management throughout the holding period to ensure impact deliverables and to avoid "mission drift"; and </w:t>
      </w:r>
    </w:p>
    <w:p w14:paraId="6DA87936" w14:textId="42B11048" w:rsidR="00B62810" w:rsidRDefault="00B62810" w:rsidP="00A6733C">
      <w:pPr>
        <w:pStyle w:val="ListParagraph"/>
        <w:numPr>
          <w:ilvl w:val="0"/>
          <w:numId w:val="39"/>
        </w:numPr>
        <w:spacing w:after="0" w:line="276" w:lineRule="auto"/>
        <w:jc w:val="both"/>
        <w:rPr>
          <w:sz w:val="22"/>
          <w:szCs w:val="22"/>
          <w:lang w:val="en-GB"/>
        </w:rPr>
      </w:pPr>
      <w:r w:rsidRPr="00B62810">
        <w:rPr>
          <w:sz w:val="22"/>
          <w:szCs w:val="22"/>
          <w:lang w:val="en-GB"/>
        </w:rPr>
        <w:t xml:space="preserve">providing standardized and detailed quarterly investment reports to all its clients. The Fund produces a comprehensive Impact Report to all clients on an annual basis. The report </w:t>
      </w:r>
      <w:r w:rsidRPr="00B62810">
        <w:rPr>
          <w:sz w:val="22"/>
          <w:szCs w:val="22"/>
          <w:lang w:val="en-GB"/>
        </w:rPr>
        <w:lastRenderedPageBreak/>
        <w:t>provides detail on the performance of the portfolio against key impact-related metrics, highlighting noteworthy trends or improvements with case studies</w:t>
      </w:r>
      <w:r w:rsidR="001A224E">
        <w:rPr>
          <w:sz w:val="22"/>
          <w:szCs w:val="22"/>
          <w:lang w:val="en-GB"/>
        </w:rPr>
        <w:t>.</w:t>
      </w:r>
    </w:p>
    <w:p w14:paraId="1BF28A51" w14:textId="77777777" w:rsidR="001A224E" w:rsidRPr="00B62810" w:rsidRDefault="001A224E" w:rsidP="001A224E">
      <w:pPr>
        <w:pStyle w:val="ListParagraph"/>
        <w:spacing w:after="0" w:line="276" w:lineRule="auto"/>
        <w:jc w:val="both"/>
        <w:rPr>
          <w:sz w:val="22"/>
          <w:szCs w:val="22"/>
          <w:lang w:val="en-GB"/>
        </w:rPr>
      </w:pPr>
    </w:p>
    <w:p w14:paraId="0164B00D" w14:textId="48976133" w:rsidR="00B62810" w:rsidRDefault="00B62810" w:rsidP="00A6733C">
      <w:pPr>
        <w:spacing w:after="0" w:line="276" w:lineRule="auto"/>
        <w:jc w:val="both"/>
        <w:rPr>
          <w:sz w:val="22"/>
          <w:szCs w:val="22"/>
          <w:lang w:val="en-GB"/>
        </w:rPr>
      </w:pPr>
      <w:r w:rsidRPr="00B62810">
        <w:rPr>
          <w:sz w:val="22"/>
          <w:szCs w:val="22"/>
          <w:lang w:val="en-GB"/>
        </w:rPr>
        <w:t>Depending on the Manager's role as investor, the Fund monitors ESG risks addressed, and (where possible and meaningful) reports on progress made on key ESG indicators.</w:t>
      </w:r>
    </w:p>
    <w:p w14:paraId="7278ABC7" w14:textId="77777777" w:rsidR="004A5000" w:rsidRPr="00585CEC" w:rsidRDefault="004A5000" w:rsidP="00A6733C">
      <w:pPr>
        <w:spacing w:after="0" w:line="276" w:lineRule="auto"/>
        <w:jc w:val="both"/>
        <w:rPr>
          <w:sz w:val="22"/>
          <w:szCs w:val="22"/>
          <w:lang w:val="en-GB"/>
        </w:rPr>
      </w:pPr>
    </w:p>
    <w:p w14:paraId="4419B666" w14:textId="77777777" w:rsidR="000429F9" w:rsidRPr="00585CEC" w:rsidRDefault="000429F9" w:rsidP="00A6733C">
      <w:pPr>
        <w:pStyle w:val="ListParagraph"/>
        <w:numPr>
          <w:ilvl w:val="0"/>
          <w:numId w:val="37"/>
        </w:numPr>
        <w:spacing w:after="0" w:line="276" w:lineRule="auto"/>
        <w:jc w:val="both"/>
        <w:rPr>
          <w:sz w:val="22"/>
          <w:szCs w:val="22"/>
          <w:lang w:val="en-GB"/>
        </w:rPr>
      </w:pPr>
      <w:r w:rsidRPr="00585CEC">
        <w:rPr>
          <w:sz w:val="22"/>
          <w:szCs w:val="22"/>
          <w:lang w:val="en-GB"/>
        </w:rPr>
        <w:t>Exit</w:t>
      </w:r>
    </w:p>
    <w:p w14:paraId="704D7867" w14:textId="657D4F5F" w:rsidR="00B62810" w:rsidRDefault="00B62810" w:rsidP="00A6733C">
      <w:pPr>
        <w:spacing w:after="0" w:line="276" w:lineRule="auto"/>
        <w:jc w:val="both"/>
        <w:rPr>
          <w:sz w:val="22"/>
          <w:szCs w:val="22"/>
          <w:lang w:val="en-GB"/>
        </w:rPr>
      </w:pPr>
      <w:r w:rsidRPr="00B62810">
        <w:rPr>
          <w:sz w:val="22"/>
          <w:szCs w:val="22"/>
          <w:lang w:val="en-GB"/>
        </w:rPr>
        <w:t>Exit planning is addressed from the outset of the deal evaluation process and forms an important part of the investment decision making process. The Fund works closely with management to ensure that thorough consideration is given to how the impact mission &amp; sustainability of its Investments can be protected after exit.</w:t>
      </w:r>
    </w:p>
    <w:p w14:paraId="135AEF6B" w14:textId="77777777" w:rsidR="001A224E" w:rsidRPr="00B62810" w:rsidRDefault="001A224E" w:rsidP="00A6733C">
      <w:pPr>
        <w:spacing w:after="0" w:line="276" w:lineRule="auto"/>
        <w:jc w:val="both"/>
        <w:rPr>
          <w:sz w:val="22"/>
          <w:szCs w:val="22"/>
          <w:lang w:val="en-GB"/>
        </w:rPr>
      </w:pPr>
    </w:p>
    <w:p w14:paraId="0CED09B5" w14:textId="1DCA5F3E" w:rsidR="00585CEC" w:rsidRDefault="00B62810" w:rsidP="00A6733C">
      <w:pPr>
        <w:spacing w:after="0" w:line="276" w:lineRule="auto"/>
        <w:jc w:val="both"/>
        <w:rPr>
          <w:sz w:val="22"/>
          <w:szCs w:val="22"/>
          <w:lang w:val="en-GB"/>
        </w:rPr>
      </w:pPr>
      <w:r w:rsidRPr="00B62810">
        <w:rPr>
          <w:sz w:val="22"/>
          <w:szCs w:val="22"/>
          <w:lang w:val="en-GB"/>
        </w:rPr>
        <w:t xml:space="preserve">Before an exit decision is adopted, the Fund will be required to </w:t>
      </w:r>
      <w:proofErr w:type="spellStart"/>
      <w:r w:rsidRPr="00B62810">
        <w:rPr>
          <w:sz w:val="22"/>
          <w:szCs w:val="22"/>
          <w:lang w:val="en-GB"/>
        </w:rPr>
        <w:t>analyze</w:t>
      </w:r>
      <w:proofErr w:type="spellEnd"/>
      <w:r w:rsidRPr="00B62810">
        <w:rPr>
          <w:sz w:val="22"/>
          <w:szCs w:val="22"/>
          <w:lang w:val="en-GB"/>
        </w:rPr>
        <w:t xml:space="preserve"> a set of common factors related to impact sustainability (such as timing of exit and impact alignment of stakeholders) in order to assess potential exit options from both an impact &amp; sustainability and a commercial perspective. The Fund will utilize exits as an opportunity to reflect on lessons learned over the period of ownership of the asset in terms of creating, optimizing and sustaining positive impact. These learnings will be reflected in the selection of new assets, and the management of current assets.</w:t>
      </w:r>
    </w:p>
    <w:p w14:paraId="77B49321" w14:textId="77777777" w:rsidR="001A224E" w:rsidRPr="003F200D" w:rsidRDefault="001A224E" w:rsidP="00A6733C">
      <w:pPr>
        <w:spacing w:after="0" w:line="276" w:lineRule="auto"/>
        <w:jc w:val="both"/>
        <w:rPr>
          <w:sz w:val="22"/>
          <w:szCs w:val="22"/>
          <w:lang w:val="en-GB"/>
        </w:rPr>
      </w:pPr>
    </w:p>
    <w:p w14:paraId="00A9B9F7" w14:textId="713D98EA" w:rsidR="00296605" w:rsidRDefault="008C2D57" w:rsidP="00A6733C">
      <w:pPr>
        <w:pStyle w:val="Heading1"/>
        <w:numPr>
          <w:ilvl w:val="0"/>
          <w:numId w:val="26"/>
        </w:numPr>
        <w:spacing w:after="0"/>
        <w:ind w:left="709"/>
        <w:rPr>
          <w:rFonts w:ascii="Calibri" w:hAnsi="Calibri" w:cs="Calibri"/>
        </w:rPr>
      </w:pPr>
      <w:r>
        <w:rPr>
          <w:sz w:val="22"/>
          <w:szCs w:val="22"/>
          <w:lang w:val="en-GB"/>
        </w:rPr>
        <w:t>Proportion of investments</w:t>
      </w:r>
    </w:p>
    <w:tbl>
      <w:tblPr>
        <w:tblStyle w:val="TableGrid"/>
        <w:tblW w:w="0" w:type="auto"/>
        <w:tblLook w:val="04A0" w:firstRow="1" w:lastRow="0" w:firstColumn="1" w:lastColumn="0" w:noHBand="0" w:noVBand="1"/>
      </w:tblPr>
      <w:tblGrid>
        <w:gridCol w:w="460"/>
        <w:gridCol w:w="4922"/>
        <w:gridCol w:w="3679"/>
      </w:tblGrid>
      <w:tr w:rsidR="008C2D57" w14:paraId="3DA7E47D" w14:textId="77777777" w:rsidTr="00F43488">
        <w:trPr>
          <w:trHeight w:val="488"/>
        </w:trPr>
        <w:tc>
          <w:tcPr>
            <w:tcW w:w="460" w:type="dxa"/>
            <w:tcBorders>
              <w:bottom w:val="single" w:sz="4" w:space="0" w:color="auto"/>
            </w:tcBorders>
          </w:tcPr>
          <w:p w14:paraId="046BD716" w14:textId="084C9B86" w:rsidR="008C2D57" w:rsidRDefault="008C2D57" w:rsidP="00A6733C">
            <w:pPr>
              <w:spacing w:after="0"/>
              <w:rPr>
                <w:lang w:val="en-GB"/>
              </w:rPr>
            </w:pPr>
            <w:r w:rsidRPr="008C2D57">
              <w:rPr>
                <w:lang w:val="x-none"/>
              </w:rPr>
              <w:t xml:space="preserve">#1 </w:t>
            </w:r>
          </w:p>
        </w:tc>
        <w:tc>
          <w:tcPr>
            <w:tcW w:w="4922" w:type="dxa"/>
            <w:tcBorders>
              <w:bottom w:val="single" w:sz="4" w:space="0" w:color="auto"/>
            </w:tcBorders>
          </w:tcPr>
          <w:p w14:paraId="76B7B9F5" w14:textId="6F6B5A15" w:rsidR="008C2D57" w:rsidRDefault="008C2D57" w:rsidP="00A6733C">
            <w:pPr>
              <w:spacing w:after="0"/>
              <w:jc w:val="both"/>
              <w:rPr>
                <w:lang w:val="x-none"/>
              </w:rPr>
            </w:pPr>
            <w:r>
              <w:rPr>
                <w:lang w:val="en-GB"/>
              </w:rPr>
              <w:t>Investments a</w:t>
            </w:r>
            <w:r w:rsidRPr="008C2D57">
              <w:rPr>
                <w:lang w:val="en-GB"/>
              </w:rPr>
              <w:t>ligned with E/S characteristics includes the Investments of the financial product used to attain the environmental or social characteristics promoted by the financial product</w:t>
            </w:r>
          </w:p>
        </w:tc>
        <w:tc>
          <w:tcPr>
            <w:tcW w:w="3679" w:type="dxa"/>
            <w:tcBorders>
              <w:bottom w:val="single" w:sz="4" w:space="0" w:color="auto"/>
            </w:tcBorders>
          </w:tcPr>
          <w:p w14:paraId="0165E8FD" w14:textId="22674A0B" w:rsidR="008C2D57" w:rsidRDefault="00F455A5" w:rsidP="00A6733C">
            <w:pPr>
              <w:spacing w:after="0"/>
              <w:jc w:val="right"/>
              <w:rPr>
                <w:lang w:val="x-none"/>
              </w:rPr>
            </w:pPr>
            <w:r>
              <w:rPr>
                <w:lang w:val="de-DE"/>
              </w:rPr>
              <w:t>90</w:t>
            </w:r>
            <w:r w:rsidR="008C2D57" w:rsidRPr="008C2D57">
              <w:rPr>
                <w:lang w:val="x-none"/>
              </w:rPr>
              <w:t>%</w:t>
            </w:r>
          </w:p>
        </w:tc>
      </w:tr>
      <w:tr w:rsidR="00F43488" w14:paraId="05586F4A" w14:textId="77777777" w:rsidTr="00F43488">
        <w:trPr>
          <w:trHeight w:val="488"/>
        </w:trPr>
        <w:tc>
          <w:tcPr>
            <w:tcW w:w="460" w:type="dxa"/>
            <w:tcBorders>
              <w:top w:val="single" w:sz="4" w:space="0" w:color="auto"/>
              <w:bottom w:val="single" w:sz="4" w:space="0" w:color="auto"/>
            </w:tcBorders>
          </w:tcPr>
          <w:p w14:paraId="758F5CA8" w14:textId="77777777" w:rsidR="00F43488" w:rsidRPr="008C2D57" w:rsidRDefault="00F43488" w:rsidP="00A6733C">
            <w:pPr>
              <w:spacing w:after="0"/>
              <w:rPr>
                <w:lang w:val="x-none"/>
              </w:rPr>
            </w:pPr>
          </w:p>
        </w:tc>
        <w:tc>
          <w:tcPr>
            <w:tcW w:w="4922" w:type="dxa"/>
            <w:tcBorders>
              <w:top w:val="single" w:sz="4" w:space="0" w:color="auto"/>
              <w:bottom w:val="single" w:sz="4" w:space="0" w:color="auto"/>
            </w:tcBorders>
          </w:tcPr>
          <w:p w14:paraId="17E28F59" w14:textId="63202E62" w:rsidR="00F43488" w:rsidRDefault="00F43488" w:rsidP="00A6733C">
            <w:pPr>
              <w:spacing w:after="0"/>
              <w:rPr>
                <w:lang w:val="en-GB"/>
              </w:rPr>
            </w:pPr>
            <w:r w:rsidRPr="008C2D57">
              <w:rPr>
                <w:lang w:val="x-none"/>
              </w:rPr>
              <w:t>#1A</w:t>
            </w:r>
            <w:r>
              <w:rPr>
                <w:lang w:val="en-GB"/>
              </w:rPr>
              <w:t xml:space="preserve">  - </w:t>
            </w:r>
            <w:r w:rsidR="00667244" w:rsidRPr="00667244">
              <w:rPr>
                <w:lang w:val="en-GB"/>
              </w:rPr>
              <w:t xml:space="preserve">Sustainable – covers Sustainable Investments </w:t>
            </w:r>
            <w:proofErr w:type="spellStart"/>
            <w:r w:rsidR="00667244" w:rsidRPr="00667244">
              <w:rPr>
                <w:lang w:val="en-GB"/>
              </w:rPr>
              <w:t>sith</w:t>
            </w:r>
            <w:proofErr w:type="spellEnd"/>
            <w:r w:rsidR="00667244" w:rsidRPr="00667244">
              <w:rPr>
                <w:lang w:val="en-GB"/>
              </w:rPr>
              <w:t xml:space="preserve"> environmental or social objective</w:t>
            </w:r>
            <w:r w:rsidRPr="00F43488">
              <w:rPr>
                <w:lang w:val="en-GB"/>
              </w:rPr>
              <w:t>.</w:t>
            </w:r>
          </w:p>
        </w:tc>
        <w:tc>
          <w:tcPr>
            <w:tcW w:w="3679" w:type="dxa"/>
            <w:tcBorders>
              <w:top w:val="single" w:sz="4" w:space="0" w:color="auto"/>
              <w:bottom w:val="single" w:sz="4" w:space="0" w:color="auto"/>
            </w:tcBorders>
          </w:tcPr>
          <w:p w14:paraId="69A1F59D" w14:textId="6F904DC0" w:rsidR="00F43488" w:rsidRPr="00F43488" w:rsidRDefault="00F43488" w:rsidP="00A6733C">
            <w:pPr>
              <w:spacing w:after="0"/>
              <w:jc w:val="right"/>
              <w:rPr>
                <w:lang w:val="x-none"/>
              </w:rPr>
            </w:pPr>
            <w:r w:rsidRPr="00F43488">
              <w:rPr>
                <w:lang w:val="x-none"/>
              </w:rPr>
              <w:t xml:space="preserve">0 % </w:t>
            </w:r>
            <w:proofErr w:type="spellStart"/>
            <w:r w:rsidRPr="00F43488">
              <w:rPr>
                <w:lang w:val="x-none"/>
              </w:rPr>
              <w:t>focused</w:t>
            </w:r>
            <w:proofErr w:type="spellEnd"/>
            <w:r w:rsidRPr="00F43488">
              <w:rPr>
                <w:lang w:val="x-none"/>
              </w:rPr>
              <w:t xml:space="preserve"> on social-</w:t>
            </w:r>
            <w:proofErr w:type="spellStart"/>
            <w:r w:rsidRPr="00F43488">
              <w:rPr>
                <w:lang w:val="x-none"/>
              </w:rPr>
              <w:t>oriented</w:t>
            </w:r>
            <w:proofErr w:type="spellEnd"/>
            <w:r w:rsidRPr="00F43488">
              <w:rPr>
                <w:lang w:val="x-none"/>
              </w:rPr>
              <w:t xml:space="preserve"> </w:t>
            </w:r>
            <w:r w:rsidR="00667244">
              <w:rPr>
                <w:lang w:val="en-GB"/>
              </w:rPr>
              <w:t>S</w:t>
            </w:r>
            <w:proofErr w:type="spellStart"/>
            <w:r w:rsidRPr="00F43488">
              <w:rPr>
                <w:lang w:val="x-none"/>
              </w:rPr>
              <w:t>ustainable</w:t>
            </w:r>
            <w:proofErr w:type="spellEnd"/>
            <w:r w:rsidRPr="00F43488">
              <w:rPr>
                <w:lang w:val="x-none"/>
              </w:rPr>
              <w:t xml:space="preserve"> </w:t>
            </w:r>
            <w:r w:rsidR="00667244">
              <w:rPr>
                <w:lang w:val="en-GB"/>
              </w:rPr>
              <w:t>I</w:t>
            </w:r>
            <w:proofErr w:type="spellStart"/>
            <w:r w:rsidRPr="00F43488">
              <w:rPr>
                <w:lang w:val="x-none"/>
              </w:rPr>
              <w:t>nvestments</w:t>
            </w:r>
            <w:proofErr w:type="spellEnd"/>
          </w:p>
        </w:tc>
      </w:tr>
      <w:tr w:rsidR="00F43488" w14:paraId="23C85771" w14:textId="77777777" w:rsidTr="00F43488">
        <w:trPr>
          <w:trHeight w:val="488"/>
        </w:trPr>
        <w:tc>
          <w:tcPr>
            <w:tcW w:w="460" w:type="dxa"/>
            <w:tcBorders>
              <w:top w:val="single" w:sz="4" w:space="0" w:color="auto"/>
              <w:bottom w:val="single" w:sz="4" w:space="0" w:color="auto"/>
            </w:tcBorders>
          </w:tcPr>
          <w:p w14:paraId="0C2DD258" w14:textId="541D5EC8" w:rsidR="00F43488" w:rsidRPr="008C2D57" w:rsidRDefault="00F43488" w:rsidP="00A6733C">
            <w:pPr>
              <w:spacing w:after="0"/>
              <w:rPr>
                <w:lang w:val="x-none"/>
              </w:rPr>
            </w:pPr>
          </w:p>
        </w:tc>
        <w:tc>
          <w:tcPr>
            <w:tcW w:w="4922" w:type="dxa"/>
            <w:tcBorders>
              <w:top w:val="single" w:sz="4" w:space="0" w:color="auto"/>
              <w:bottom w:val="single" w:sz="4" w:space="0" w:color="auto"/>
            </w:tcBorders>
          </w:tcPr>
          <w:p w14:paraId="54EB268D" w14:textId="1B43EFF7" w:rsidR="00F43488" w:rsidRPr="00F43488" w:rsidRDefault="00F43488" w:rsidP="00A6733C">
            <w:pPr>
              <w:spacing w:after="0"/>
              <w:jc w:val="both"/>
              <w:rPr>
                <w:lang w:val="en-GB"/>
              </w:rPr>
            </w:pPr>
            <w:r w:rsidRPr="00F43488">
              <w:rPr>
                <w:lang w:val="x-none"/>
              </w:rPr>
              <w:t>#1B</w:t>
            </w:r>
            <w:r w:rsidRPr="00F43488">
              <w:rPr>
                <w:lang w:val="en-GB"/>
              </w:rPr>
              <w:t xml:space="preserve"> </w:t>
            </w:r>
            <w:r>
              <w:rPr>
                <w:lang w:val="en-GB"/>
              </w:rPr>
              <w:t xml:space="preserve">- </w:t>
            </w:r>
            <w:r w:rsidRPr="00F43488">
              <w:rPr>
                <w:lang w:val="en-GB"/>
              </w:rPr>
              <w:t xml:space="preserve">Other E/S characteristics </w:t>
            </w:r>
            <w:r w:rsidR="00667244">
              <w:rPr>
                <w:lang w:val="en-GB"/>
              </w:rPr>
              <w:t xml:space="preserve">– covers </w:t>
            </w:r>
            <w:r w:rsidRPr="00F43488">
              <w:rPr>
                <w:lang w:val="en-GB"/>
              </w:rPr>
              <w:t xml:space="preserve">Investments aligned with the environmental or social characteristics that do not qualify as </w:t>
            </w:r>
            <w:r w:rsidR="00667244">
              <w:rPr>
                <w:lang w:val="en-GB"/>
              </w:rPr>
              <w:t>S</w:t>
            </w:r>
            <w:r w:rsidRPr="00F43488">
              <w:rPr>
                <w:lang w:val="en-GB"/>
              </w:rPr>
              <w:t>ustainable Investments.</w:t>
            </w:r>
          </w:p>
        </w:tc>
        <w:tc>
          <w:tcPr>
            <w:tcW w:w="3679" w:type="dxa"/>
            <w:tcBorders>
              <w:top w:val="single" w:sz="4" w:space="0" w:color="auto"/>
              <w:bottom w:val="single" w:sz="4" w:space="0" w:color="auto"/>
            </w:tcBorders>
          </w:tcPr>
          <w:p w14:paraId="5C32CBFC" w14:textId="0E03C314" w:rsidR="00F43488" w:rsidRPr="008C2D57" w:rsidRDefault="00F455A5" w:rsidP="00A6733C">
            <w:pPr>
              <w:spacing w:after="0"/>
              <w:jc w:val="right"/>
              <w:rPr>
                <w:lang w:val="x-none"/>
              </w:rPr>
            </w:pPr>
            <w:r w:rsidRPr="002A1E9A">
              <w:rPr>
                <w:lang w:val="en-GB"/>
              </w:rPr>
              <w:t>90</w:t>
            </w:r>
            <w:r w:rsidR="00F43488" w:rsidRPr="00F43488">
              <w:rPr>
                <w:lang w:val="x-none"/>
              </w:rPr>
              <w:t xml:space="preserve">% focused on </w:t>
            </w:r>
            <w:r w:rsidR="004A5000" w:rsidRPr="002A1E9A">
              <w:rPr>
                <w:lang w:val="en-GB"/>
              </w:rPr>
              <w:t>socia</w:t>
            </w:r>
            <w:r w:rsidR="00853249">
              <w:rPr>
                <w:lang w:val="en-GB"/>
              </w:rPr>
              <w:t>l</w:t>
            </w:r>
            <w:r w:rsidR="004A5000" w:rsidRPr="002A1E9A">
              <w:rPr>
                <w:lang w:val="en-GB"/>
              </w:rPr>
              <w:t xml:space="preserve">-oriented </w:t>
            </w:r>
            <w:r w:rsidR="001B4471" w:rsidRPr="002A1E9A">
              <w:rPr>
                <w:lang w:val="en-GB"/>
              </w:rPr>
              <w:t>and</w:t>
            </w:r>
            <w:r w:rsidR="004A5000" w:rsidRPr="002A1E9A">
              <w:rPr>
                <w:lang w:val="en-GB"/>
              </w:rPr>
              <w:t xml:space="preserve"> </w:t>
            </w:r>
            <w:r w:rsidR="00F43488" w:rsidRPr="00F43488">
              <w:rPr>
                <w:lang w:val="x-none"/>
              </w:rPr>
              <w:t>environmental-oriented investments</w:t>
            </w:r>
          </w:p>
        </w:tc>
      </w:tr>
      <w:tr w:rsidR="008C2D57" w14:paraId="44671877" w14:textId="77777777" w:rsidTr="00B62810">
        <w:trPr>
          <w:trHeight w:val="488"/>
        </w:trPr>
        <w:tc>
          <w:tcPr>
            <w:tcW w:w="460" w:type="dxa"/>
            <w:tcBorders>
              <w:top w:val="single" w:sz="4" w:space="0" w:color="auto"/>
              <w:bottom w:val="single" w:sz="4" w:space="0" w:color="auto"/>
            </w:tcBorders>
          </w:tcPr>
          <w:p w14:paraId="4F070113" w14:textId="6210AB89" w:rsidR="008C2D57" w:rsidRDefault="008C2D57" w:rsidP="00A6733C">
            <w:pPr>
              <w:spacing w:after="0"/>
              <w:rPr>
                <w:lang w:val="x-none"/>
              </w:rPr>
            </w:pPr>
            <w:r w:rsidRPr="008C2D57">
              <w:rPr>
                <w:lang w:val="x-none"/>
              </w:rPr>
              <w:t>#2</w:t>
            </w:r>
          </w:p>
        </w:tc>
        <w:tc>
          <w:tcPr>
            <w:tcW w:w="4922" w:type="dxa"/>
            <w:tcBorders>
              <w:top w:val="single" w:sz="4" w:space="0" w:color="auto"/>
              <w:bottom w:val="single" w:sz="4" w:space="0" w:color="auto"/>
            </w:tcBorders>
          </w:tcPr>
          <w:p w14:paraId="6CF55A30" w14:textId="39A316B9" w:rsidR="008C2D57" w:rsidRDefault="008C2D57" w:rsidP="00A6733C">
            <w:pPr>
              <w:spacing w:after="0"/>
              <w:jc w:val="both"/>
              <w:rPr>
                <w:lang w:val="x-none"/>
              </w:rPr>
            </w:pPr>
            <w:r w:rsidRPr="008C2D57">
              <w:rPr>
                <w:lang w:val="x-none"/>
              </w:rPr>
              <w:t xml:space="preserve">Other </w:t>
            </w:r>
            <w:r>
              <w:rPr>
                <w:lang w:val="en-GB"/>
              </w:rPr>
              <w:t xml:space="preserve">Investments that </w:t>
            </w:r>
            <w:proofErr w:type="spellStart"/>
            <w:r w:rsidRPr="008C2D57">
              <w:rPr>
                <w:lang w:val="x-none"/>
              </w:rPr>
              <w:t>include</w:t>
            </w:r>
            <w:proofErr w:type="spellEnd"/>
            <w:r w:rsidRPr="008C2D57">
              <w:rPr>
                <w:lang w:val="x-none"/>
              </w:rPr>
              <w:t xml:space="preserve"> </w:t>
            </w:r>
            <w:proofErr w:type="spellStart"/>
            <w:r w:rsidRPr="008C2D57">
              <w:rPr>
                <w:lang w:val="x-none"/>
              </w:rPr>
              <w:t>the</w:t>
            </w:r>
            <w:proofErr w:type="spellEnd"/>
            <w:r w:rsidRPr="008C2D57">
              <w:rPr>
                <w:lang w:val="x-none"/>
              </w:rPr>
              <w:t xml:space="preserve"> </w:t>
            </w:r>
            <w:proofErr w:type="spellStart"/>
            <w:r w:rsidRPr="008C2D57">
              <w:rPr>
                <w:lang w:val="x-none"/>
              </w:rPr>
              <w:t>remaining</w:t>
            </w:r>
            <w:proofErr w:type="spellEnd"/>
            <w:r w:rsidRPr="008C2D57">
              <w:rPr>
                <w:lang w:val="x-none"/>
              </w:rPr>
              <w:t xml:space="preserve"> </w:t>
            </w:r>
            <w:proofErr w:type="spellStart"/>
            <w:r>
              <w:rPr>
                <w:lang w:val="en-GB"/>
              </w:rPr>
              <w:t>i</w:t>
            </w:r>
            <w:r w:rsidRPr="008C2D57">
              <w:rPr>
                <w:lang w:val="x-none"/>
              </w:rPr>
              <w:t>nvestments</w:t>
            </w:r>
            <w:proofErr w:type="spellEnd"/>
            <w:r w:rsidRPr="008C2D57">
              <w:rPr>
                <w:lang w:val="x-none"/>
              </w:rPr>
              <w:t xml:space="preserve"> </w:t>
            </w:r>
            <w:proofErr w:type="spellStart"/>
            <w:r w:rsidRPr="008C2D57">
              <w:rPr>
                <w:lang w:val="x-none"/>
              </w:rPr>
              <w:t>of</w:t>
            </w:r>
            <w:proofErr w:type="spellEnd"/>
            <w:r w:rsidRPr="008C2D57">
              <w:rPr>
                <w:lang w:val="x-none"/>
              </w:rPr>
              <w:t xml:space="preserve"> </w:t>
            </w:r>
            <w:proofErr w:type="spellStart"/>
            <w:r w:rsidRPr="008C2D57">
              <w:rPr>
                <w:lang w:val="x-none"/>
              </w:rPr>
              <w:t>the</w:t>
            </w:r>
            <w:proofErr w:type="spellEnd"/>
            <w:r w:rsidRPr="008C2D57">
              <w:rPr>
                <w:lang w:val="x-none"/>
              </w:rPr>
              <w:t xml:space="preserve"> </w:t>
            </w:r>
            <w:proofErr w:type="spellStart"/>
            <w:r w:rsidRPr="008C2D57">
              <w:rPr>
                <w:lang w:val="x-none"/>
              </w:rPr>
              <w:t>financial</w:t>
            </w:r>
            <w:proofErr w:type="spellEnd"/>
            <w:r w:rsidRPr="008C2D57">
              <w:rPr>
                <w:lang w:val="x-none"/>
              </w:rPr>
              <w:t xml:space="preserve"> </w:t>
            </w:r>
            <w:proofErr w:type="spellStart"/>
            <w:r w:rsidRPr="008C2D57">
              <w:rPr>
                <w:lang w:val="x-none"/>
              </w:rPr>
              <w:t>product</w:t>
            </w:r>
            <w:proofErr w:type="spellEnd"/>
            <w:r w:rsidRPr="008C2D57">
              <w:rPr>
                <w:lang w:val="x-none"/>
              </w:rPr>
              <w:t xml:space="preserve"> </w:t>
            </w:r>
            <w:proofErr w:type="spellStart"/>
            <w:r w:rsidRPr="008C2D57">
              <w:rPr>
                <w:lang w:val="x-none"/>
              </w:rPr>
              <w:t>which</w:t>
            </w:r>
            <w:proofErr w:type="spellEnd"/>
            <w:r w:rsidRPr="008C2D57">
              <w:rPr>
                <w:lang w:val="x-none"/>
              </w:rPr>
              <w:t xml:space="preserve"> </w:t>
            </w:r>
            <w:proofErr w:type="spellStart"/>
            <w:r w:rsidRPr="008C2D57">
              <w:rPr>
                <w:lang w:val="x-none"/>
              </w:rPr>
              <w:t>are</w:t>
            </w:r>
            <w:proofErr w:type="spellEnd"/>
            <w:r w:rsidRPr="008C2D57">
              <w:rPr>
                <w:lang w:val="x-none"/>
              </w:rPr>
              <w:t xml:space="preserve"> </w:t>
            </w:r>
            <w:proofErr w:type="spellStart"/>
            <w:r w:rsidRPr="008C2D57">
              <w:rPr>
                <w:lang w:val="x-none"/>
              </w:rPr>
              <w:t>neither</w:t>
            </w:r>
            <w:proofErr w:type="spellEnd"/>
            <w:r w:rsidRPr="008C2D57">
              <w:rPr>
                <w:lang w:val="x-none"/>
              </w:rPr>
              <w:t xml:space="preserve"> </w:t>
            </w:r>
            <w:proofErr w:type="spellStart"/>
            <w:r w:rsidRPr="008C2D57">
              <w:rPr>
                <w:lang w:val="x-none"/>
              </w:rPr>
              <w:t>aligned</w:t>
            </w:r>
            <w:proofErr w:type="spellEnd"/>
            <w:r w:rsidRPr="008C2D57">
              <w:rPr>
                <w:lang w:val="x-none"/>
              </w:rPr>
              <w:t xml:space="preserve"> </w:t>
            </w:r>
            <w:proofErr w:type="spellStart"/>
            <w:r w:rsidRPr="008C2D57">
              <w:rPr>
                <w:lang w:val="x-none"/>
              </w:rPr>
              <w:t>with</w:t>
            </w:r>
            <w:proofErr w:type="spellEnd"/>
            <w:r w:rsidRPr="008C2D57">
              <w:rPr>
                <w:lang w:val="x-none"/>
              </w:rPr>
              <w:t xml:space="preserve"> </w:t>
            </w:r>
            <w:proofErr w:type="spellStart"/>
            <w:r w:rsidRPr="008C2D57">
              <w:rPr>
                <w:lang w:val="x-none"/>
              </w:rPr>
              <w:t>the</w:t>
            </w:r>
            <w:proofErr w:type="spellEnd"/>
            <w:r w:rsidRPr="008C2D57">
              <w:rPr>
                <w:lang w:val="x-none"/>
              </w:rPr>
              <w:t xml:space="preserve"> environmental </w:t>
            </w:r>
            <w:proofErr w:type="spellStart"/>
            <w:r w:rsidRPr="008C2D57">
              <w:rPr>
                <w:lang w:val="x-none"/>
              </w:rPr>
              <w:t>or</w:t>
            </w:r>
            <w:proofErr w:type="spellEnd"/>
            <w:r w:rsidRPr="008C2D57">
              <w:rPr>
                <w:lang w:val="x-none"/>
              </w:rPr>
              <w:t xml:space="preserve"> social </w:t>
            </w:r>
            <w:proofErr w:type="spellStart"/>
            <w:r w:rsidRPr="008C2D57">
              <w:rPr>
                <w:lang w:val="x-none"/>
              </w:rPr>
              <w:t>characteristics</w:t>
            </w:r>
            <w:proofErr w:type="spellEnd"/>
            <w:r w:rsidRPr="008C2D57">
              <w:rPr>
                <w:lang w:val="x-none"/>
              </w:rPr>
              <w:t xml:space="preserve">, </w:t>
            </w:r>
            <w:proofErr w:type="spellStart"/>
            <w:r w:rsidRPr="008C2D57">
              <w:rPr>
                <w:lang w:val="x-none"/>
              </w:rPr>
              <w:t>nor</w:t>
            </w:r>
            <w:proofErr w:type="spellEnd"/>
            <w:r w:rsidRPr="008C2D57">
              <w:rPr>
                <w:lang w:val="x-none"/>
              </w:rPr>
              <w:t xml:space="preserve"> </w:t>
            </w:r>
            <w:proofErr w:type="spellStart"/>
            <w:r w:rsidRPr="008C2D57">
              <w:rPr>
                <w:lang w:val="x-none"/>
              </w:rPr>
              <w:t>are</w:t>
            </w:r>
            <w:proofErr w:type="spellEnd"/>
            <w:r w:rsidRPr="008C2D57">
              <w:rPr>
                <w:lang w:val="x-none"/>
              </w:rPr>
              <w:t xml:space="preserve"> </w:t>
            </w:r>
            <w:proofErr w:type="spellStart"/>
            <w:r w:rsidRPr="008C2D57">
              <w:rPr>
                <w:lang w:val="x-none"/>
              </w:rPr>
              <w:t>qualified</w:t>
            </w:r>
            <w:proofErr w:type="spellEnd"/>
            <w:r w:rsidRPr="008C2D57">
              <w:rPr>
                <w:lang w:val="x-none"/>
              </w:rPr>
              <w:t xml:space="preserve"> </w:t>
            </w:r>
            <w:proofErr w:type="spellStart"/>
            <w:r w:rsidRPr="008C2D57">
              <w:rPr>
                <w:lang w:val="x-none"/>
              </w:rPr>
              <w:t>as</w:t>
            </w:r>
            <w:proofErr w:type="spellEnd"/>
            <w:r w:rsidRPr="008C2D57">
              <w:rPr>
                <w:lang w:val="x-none"/>
              </w:rPr>
              <w:t xml:space="preserve"> </w:t>
            </w:r>
            <w:r w:rsidR="00667244">
              <w:rPr>
                <w:lang w:val="en-GB"/>
              </w:rPr>
              <w:t>S</w:t>
            </w:r>
            <w:proofErr w:type="spellStart"/>
            <w:r w:rsidRPr="008C2D57">
              <w:rPr>
                <w:lang w:val="x-none"/>
              </w:rPr>
              <w:t>ustainable</w:t>
            </w:r>
            <w:proofErr w:type="spellEnd"/>
            <w:r w:rsidRPr="008C2D57">
              <w:rPr>
                <w:lang w:val="x-none"/>
              </w:rPr>
              <w:t xml:space="preserve"> </w:t>
            </w:r>
            <w:r w:rsidR="00667244">
              <w:rPr>
                <w:lang w:val="en-GB"/>
              </w:rPr>
              <w:t>I</w:t>
            </w:r>
            <w:proofErr w:type="spellStart"/>
            <w:r w:rsidRPr="008C2D57">
              <w:rPr>
                <w:lang w:val="x-none"/>
              </w:rPr>
              <w:t>nvestments</w:t>
            </w:r>
            <w:proofErr w:type="spellEnd"/>
          </w:p>
        </w:tc>
        <w:tc>
          <w:tcPr>
            <w:tcW w:w="3679" w:type="dxa"/>
            <w:tcBorders>
              <w:top w:val="single" w:sz="4" w:space="0" w:color="auto"/>
              <w:bottom w:val="single" w:sz="4" w:space="0" w:color="auto"/>
            </w:tcBorders>
          </w:tcPr>
          <w:p w14:paraId="1B91D362" w14:textId="6874104B" w:rsidR="008C2D57" w:rsidRDefault="00F455A5" w:rsidP="00A6733C">
            <w:pPr>
              <w:spacing w:after="0"/>
              <w:jc w:val="right"/>
              <w:rPr>
                <w:lang w:val="x-none"/>
              </w:rPr>
            </w:pPr>
            <w:r>
              <w:rPr>
                <w:lang w:val="de-DE"/>
              </w:rPr>
              <w:t>1</w:t>
            </w:r>
            <w:r w:rsidR="008C2D57" w:rsidRPr="008C2D57">
              <w:rPr>
                <w:lang w:val="x-none"/>
              </w:rPr>
              <w:t>0%</w:t>
            </w:r>
          </w:p>
        </w:tc>
      </w:tr>
    </w:tbl>
    <w:p w14:paraId="10B7C932" w14:textId="77777777" w:rsidR="00033E22" w:rsidRDefault="00033E22" w:rsidP="00A6733C">
      <w:pPr>
        <w:spacing w:after="0" w:line="276" w:lineRule="auto"/>
        <w:jc w:val="both"/>
        <w:rPr>
          <w:sz w:val="22"/>
          <w:szCs w:val="22"/>
          <w:lang w:val="en-GB"/>
        </w:rPr>
      </w:pPr>
      <w:bookmarkStart w:id="6" w:name="_Hlk92809366"/>
    </w:p>
    <w:p w14:paraId="2C10A74D" w14:textId="30B98ABE" w:rsidR="00F455A5" w:rsidRDefault="00794D7F" w:rsidP="00A6733C">
      <w:pPr>
        <w:spacing w:after="0" w:line="276" w:lineRule="auto"/>
        <w:jc w:val="both"/>
        <w:rPr>
          <w:sz w:val="22"/>
          <w:szCs w:val="22"/>
          <w:lang w:val="en-GB"/>
        </w:rPr>
      </w:pPr>
      <w:r w:rsidRPr="0070422B">
        <w:rPr>
          <w:sz w:val="22"/>
          <w:szCs w:val="22"/>
          <w:lang w:val="en-GB"/>
        </w:rPr>
        <w:t>#2 Other include</w:t>
      </w:r>
      <w:r w:rsidR="009D30E4">
        <w:rPr>
          <w:sz w:val="22"/>
          <w:szCs w:val="22"/>
          <w:lang w:val="en-GB"/>
        </w:rPr>
        <w:t>s</w:t>
      </w:r>
      <w:r w:rsidRPr="0070422B">
        <w:rPr>
          <w:sz w:val="22"/>
          <w:szCs w:val="22"/>
          <w:lang w:val="en-GB"/>
        </w:rPr>
        <w:t xml:space="preserve"> (</w:t>
      </w:r>
      <w:proofErr w:type="spellStart"/>
      <w:r w:rsidRPr="0070422B">
        <w:rPr>
          <w:sz w:val="22"/>
          <w:szCs w:val="22"/>
          <w:lang w:val="en-GB"/>
        </w:rPr>
        <w:t>i</w:t>
      </w:r>
      <w:proofErr w:type="spellEnd"/>
      <w:r w:rsidRPr="0070422B">
        <w:rPr>
          <w:sz w:val="22"/>
          <w:szCs w:val="22"/>
          <w:lang w:val="en-GB"/>
        </w:rPr>
        <w:t>) derivative instruments used to reduce foreign currency and interest rate</w:t>
      </w:r>
      <w:r>
        <w:rPr>
          <w:sz w:val="22"/>
          <w:szCs w:val="22"/>
          <w:lang w:val="en-GB"/>
        </w:rPr>
        <w:t xml:space="preserve"> </w:t>
      </w:r>
      <w:r w:rsidRPr="0070422B">
        <w:rPr>
          <w:sz w:val="22"/>
          <w:szCs w:val="22"/>
          <w:lang w:val="en-GB"/>
        </w:rPr>
        <w:t>risks as described above and (ii) cash which is used for efficient liquidity and efficient</w:t>
      </w:r>
      <w:r>
        <w:rPr>
          <w:sz w:val="22"/>
          <w:szCs w:val="22"/>
          <w:lang w:val="en-GB"/>
        </w:rPr>
        <w:t xml:space="preserve"> </w:t>
      </w:r>
      <w:r w:rsidRPr="0070422B">
        <w:rPr>
          <w:sz w:val="22"/>
          <w:szCs w:val="22"/>
          <w:lang w:val="en-GB"/>
        </w:rPr>
        <w:t>portfolio management or cost management purposes which are not actually part of the</w:t>
      </w:r>
      <w:r>
        <w:rPr>
          <w:sz w:val="22"/>
          <w:szCs w:val="22"/>
          <w:lang w:val="en-GB"/>
        </w:rPr>
        <w:t xml:space="preserve"> </w:t>
      </w:r>
      <w:r w:rsidRPr="0070422B">
        <w:rPr>
          <w:sz w:val="22"/>
          <w:szCs w:val="22"/>
          <w:lang w:val="en-GB"/>
        </w:rPr>
        <w:t>investment portfolio. The Fund will not otherwise use derivative instruments to meet or</w:t>
      </w:r>
      <w:r>
        <w:rPr>
          <w:sz w:val="22"/>
          <w:szCs w:val="22"/>
          <w:lang w:val="en-GB"/>
        </w:rPr>
        <w:t xml:space="preserve"> </w:t>
      </w:r>
      <w:r w:rsidRPr="0070422B">
        <w:rPr>
          <w:sz w:val="22"/>
          <w:szCs w:val="22"/>
          <w:lang w:val="en-GB"/>
        </w:rPr>
        <w:t>contribute towards the environmental or social characteristics. Derivative instruments used</w:t>
      </w:r>
      <w:r>
        <w:rPr>
          <w:sz w:val="22"/>
          <w:szCs w:val="22"/>
          <w:lang w:val="en-GB"/>
        </w:rPr>
        <w:t xml:space="preserve"> </w:t>
      </w:r>
      <w:r w:rsidRPr="0070422B">
        <w:rPr>
          <w:sz w:val="22"/>
          <w:szCs w:val="22"/>
          <w:lang w:val="en-GB"/>
        </w:rPr>
        <w:t>by the Fund will not be screened for ESG and SDG compliance. Further, the cash will</w:t>
      </w:r>
      <w:r>
        <w:rPr>
          <w:sz w:val="22"/>
          <w:szCs w:val="22"/>
          <w:lang w:val="en-GB"/>
        </w:rPr>
        <w:t xml:space="preserve"> </w:t>
      </w:r>
      <w:r w:rsidRPr="0070422B">
        <w:rPr>
          <w:sz w:val="22"/>
          <w:szCs w:val="22"/>
          <w:lang w:val="en-GB"/>
        </w:rPr>
        <w:t>constantly fluctuate and will not affect the ESG profile of the Fund.</w:t>
      </w:r>
    </w:p>
    <w:p w14:paraId="590C6E0B" w14:textId="77777777" w:rsidR="00265663" w:rsidRDefault="00265663" w:rsidP="00A6733C">
      <w:pPr>
        <w:spacing w:after="0" w:line="276" w:lineRule="auto"/>
        <w:jc w:val="both"/>
        <w:rPr>
          <w:sz w:val="22"/>
          <w:szCs w:val="22"/>
          <w:lang w:val="en-GB"/>
        </w:rPr>
      </w:pPr>
    </w:p>
    <w:bookmarkEnd w:id="6"/>
    <w:p w14:paraId="0925674C" w14:textId="01C949C5" w:rsidR="00A32CAD" w:rsidRPr="008049D2" w:rsidRDefault="009312B4" w:rsidP="00A6733C">
      <w:pPr>
        <w:pStyle w:val="Heading1"/>
        <w:numPr>
          <w:ilvl w:val="0"/>
          <w:numId w:val="26"/>
        </w:numPr>
        <w:spacing w:after="0"/>
        <w:ind w:left="709"/>
        <w:rPr>
          <w:lang w:val="en-GB"/>
        </w:rPr>
      </w:pPr>
      <w:r w:rsidRPr="008049D2">
        <w:rPr>
          <w:sz w:val="22"/>
          <w:szCs w:val="22"/>
          <w:lang w:val="en-GB"/>
        </w:rPr>
        <w:lastRenderedPageBreak/>
        <w:t xml:space="preserve">Monitoring of </w:t>
      </w:r>
      <w:r w:rsidR="008049D2" w:rsidRPr="008049D2">
        <w:rPr>
          <w:sz w:val="22"/>
          <w:szCs w:val="22"/>
          <w:lang w:val="en-GB"/>
        </w:rPr>
        <w:t>environmental or social characteristics</w:t>
      </w:r>
      <w:r w:rsidR="00C9230F">
        <w:rPr>
          <w:sz w:val="22"/>
          <w:szCs w:val="22"/>
          <w:lang w:val="en-GB"/>
        </w:rPr>
        <w:t xml:space="preserve"> </w:t>
      </w:r>
    </w:p>
    <w:p w14:paraId="1E00E6AC" w14:textId="3D78138C" w:rsidR="00585CEC" w:rsidRDefault="0058344C" w:rsidP="00A6733C">
      <w:pPr>
        <w:spacing w:after="0" w:line="276" w:lineRule="auto"/>
        <w:jc w:val="both"/>
        <w:rPr>
          <w:sz w:val="22"/>
          <w:szCs w:val="22"/>
          <w:lang w:val="en-GB"/>
        </w:rPr>
      </w:pPr>
      <w:r w:rsidRPr="0058344C">
        <w:rPr>
          <w:sz w:val="22"/>
          <w:szCs w:val="22"/>
          <w:lang w:val="en-GB"/>
        </w:rPr>
        <w:t xml:space="preserve">The Manager will do a </w:t>
      </w:r>
      <w:bookmarkStart w:id="7" w:name="_Hlk65705090"/>
      <w:r w:rsidRPr="0058344C">
        <w:rPr>
          <w:sz w:val="22"/>
          <w:szCs w:val="22"/>
          <w:lang w:val="en-GB"/>
        </w:rPr>
        <w:t xml:space="preserve">qualitative assessment of sustainability </w:t>
      </w:r>
      <w:bookmarkEnd w:id="7"/>
      <w:r w:rsidRPr="0058344C">
        <w:rPr>
          <w:sz w:val="22"/>
          <w:szCs w:val="22"/>
          <w:lang w:val="en-GB"/>
        </w:rPr>
        <w:t xml:space="preserve">indicators on a regular basis. In particular, the Manager will assess any potential </w:t>
      </w:r>
      <w:r w:rsidR="00267235">
        <w:rPr>
          <w:sz w:val="22"/>
          <w:szCs w:val="22"/>
          <w:lang w:val="en-GB"/>
        </w:rPr>
        <w:t>T</w:t>
      </w:r>
      <w:r w:rsidRPr="0058344C">
        <w:rPr>
          <w:sz w:val="22"/>
          <w:szCs w:val="22"/>
          <w:lang w:val="en-GB"/>
        </w:rPr>
        <w:t xml:space="preserve">arget </w:t>
      </w:r>
      <w:r w:rsidR="00267235">
        <w:rPr>
          <w:sz w:val="22"/>
          <w:szCs w:val="22"/>
          <w:lang w:val="en-GB"/>
        </w:rPr>
        <w:t>I</w:t>
      </w:r>
      <w:r w:rsidRPr="0058344C">
        <w:rPr>
          <w:sz w:val="22"/>
          <w:szCs w:val="22"/>
          <w:lang w:val="en-GB"/>
        </w:rPr>
        <w:t>nvestment against the United Nations Sustainable Developments Goals (“</w:t>
      </w:r>
      <w:r w:rsidRPr="0058344C">
        <w:rPr>
          <w:b/>
          <w:bCs/>
          <w:sz w:val="22"/>
          <w:szCs w:val="22"/>
          <w:lang w:val="en-GB"/>
        </w:rPr>
        <w:t>SDGs</w:t>
      </w:r>
      <w:r w:rsidRPr="0058344C">
        <w:rPr>
          <w:sz w:val="22"/>
          <w:szCs w:val="22"/>
          <w:lang w:val="en-GB"/>
        </w:rPr>
        <w:t xml:space="preserve">”). </w:t>
      </w:r>
      <w:r w:rsidR="006D7040" w:rsidRPr="00D352EB">
        <w:rPr>
          <w:sz w:val="22"/>
          <w:szCs w:val="22"/>
          <w:lang w:val="en-GB"/>
        </w:rPr>
        <w:t>This financial product</w:t>
      </w:r>
      <w:r w:rsidR="006D7040">
        <w:rPr>
          <w:sz w:val="22"/>
          <w:szCs w:val="22"/>
          <w:lang w:val="en-GB"/>
        </w:rPr>
        <w:t xml:space="preserve"> </w:t>
      </w:r>
      <w:r w:rsidR="006D7040" w:rsidRPr="00D352EB">
        <w:rPr>
          <w:sz w:val="22"/>
          <w:szCs w:val="22"/>
          <w:lang w:val="en-GB"/>
        </w:rPr>
        <w:t>focuses primarily on social indicators which vary between investments, and typically</w:t>
      </w:r>
      <w:r w:rsidR="006D7040">
        <w:rPr>
          <w:sz w:val="22"/>
          <w:szCs w:val="22"/>
          <w:lang w:val="en-GB"/>
        </w:rPr>
        <w:t xml:space="preserve"> </w:t>
      </w:r>
      <w:r w:rsidR="006D7040" w:rsidRPr="00D352EB">
        <w:rPr>
          <w:sz w:val="22"/>
          <w:szCs w:val="22"/>
          <w:lang w:val="en-GB"/>
        </w:rPr>
        <w:t>include one or more of the following: underserved individuals / SMEs financed,</w:t>
      </w:r>
      <w:r w:rsidR="006D7040">
        <w:rPr>
          <w:sz w:val="22"/>
          <w:szCs w:val="22"/>
          <w:lang w:val="en-GB"/>
        </w:rPr>
        <w:t xml:space="preserve"> </w:t>
      </w:r>
      <w:r w:rsidR="006D7040" w:rsidRPr="00D352EB">
        <w:rPr>
          <w:sz w:val="22"/>
          <w:szCs w:val="22"/>
          <w:lang w:val="en-GB"/>
        </w:rPr>
        <w:t>healthcare services provided, local jobs provided, students served, farmers</w:t>
      </w:r>
      <w:r w:rsidR="006D7040">
        <w:rPr>
          <w:sz w:val="22"/>
          <w:szCs w:val="22"/>
          <w:lang w:val="en-GB"/>
        </w:rPr>
        <w:t xml:space="preserve"> </w:t>
      </w:r>
      <w:r w:rsidR="006D7040" w:rsidRPr="00D352EB">
        <w:rPr>
          <w:sz w:val="22"/>
          <w:szCs w:val="22"/>
          <w:lang w:val="en-GB"/>
        </w:rPr>
        <w:t>supported and affordable housing units financed</w:t>
      </w:r>
      <w:r w:rsidR="006D7040">
        <w:rPr>
          <w:sz w:val="22"/>
          <w:szCs w:val="22"/>
          <w:lang w:val="en-GB"/>
        </w:rPr>
        <w:t>.</w:t>
      </w:r>
    </w:p>
    <w:p w14:paraId="4292A91E" w14:textId="77777777" w:rsidR="00265663" w:rsidRDefault="00265663" w:rsidP="00A6733C">
      <w:pPr>
        <w:spacing w:after="0" w:line="276" w:lineRule="auto"/>
        <w:jc w:val="both"/>
        <w:rPr>
          <w:sz w:val="22"/>
          <w:szCs w:val="22"/>
          <w:lang w:val="en-GB"/>
        </w:rPr>
      </w:pPr>
    </w:p>
    <w:p w14:paraId="1658A34E" w14:textId="2C4A0BD0" w:rsidR="0058344C" w:rsidRDefault="0058344C" w:rsidP="00A6733C">
      <w:pPr>
        <w:spacing w:after="0" w:line="276" w:lineRule="auto"/>
        <w:jc w:val="both"/>
        <w:rPr>
          <w:sz w:val="22"/>
          <w:szCs w:val="22"/>
          <w:lang w:val="en-GB"/>
        </w:rPr>
      </w:pPr>
      <w:r w:rsidRPr="0058344C">
        <w:rPr>
          <w:sz w:val="22"/>
          <w:szCs w:val="22"/>
          <w:lang w:val="en-GB"/>
        </w:rPr>
        <w:t>The Manager will actively monitor sustainability indicators and ESG incidents and will review ESG progress on an annual basis.</w:t>
      </w:r>
    </w:p>
    <w:p w14:paraId="2FB3ED53" w14:textId="77777777" w:rsidR="00265663" w:rsidRDefault="00265663" w:rsidP="00A6733C">
      <w:pPr>
        <w:spacing w:after="0" w:line="276" w:lineRule="auto"/>
        <w:jc w:val="both"/>
        <w:rPr>
          <w:sz w:val="22"/>
          <w:szCs w:val="22"/>
          <w:lang w:val="en-GB"/>
        </w:rPr>
      </w:pPr>
    </w:p>
    <w:p w14:paraId="1F8944AC" w14:textId="22D5E60B" w:rsidR="00603777" w:rsidRPr="008049D2" w:rsidRDefault="00603777" w:rsidP="00A6733C">
      <w:pPr>
        <w:pStyle w:val="ListParagraph"/>
        <w:spacing w:after="0" w:line="276" w:lineRule="auto"/>
        <w:ind w:left="0"/>
        <w:jc w:val="both"/>
        <w:rPr>
          <w:sz w:val="22"/>
          <w:szCs w:val="22"/>
          <w:lang w:val="en-GB"/>
        </w:rPr>
      </w:pPr>
      <w:r w:rsidRPr="008049D2">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a thorough integration of ESG factors. Furthermore, the Manager shall monitor the </w:t>
      </w:r>
      <w:r w:rsidR="00267235">
        <w:rPr>
          <w:sz w:val="22"/>
          <w:szCs w:val="22"/>
          <w:lang w:val="en-GB"/>
        </w:rPr>
        <w:t>I</w:t>
      </w:r>
      <w:r w:rsidRPr="008049D2">
        <w:rPr>
          <w:sz w:val="22"/>
          <w:szCs w:val="22"/>
          <w:lang w:val="en-GB"/>
        </w:rPr>
        <w:t>nvestments on an ongoing basis to ensure any potential ESG issues are quickly identified.</w:t>
      </w:r>
    </w:p>
    <w:p w14:paraId="34B19712" w14:textId="484D2E6F" w:rsidR="00F43488" w:rsidRDefault="00F43488" w:rsidP="00A6733C">
      <w:pPr>
        <w:pStyle w:val="ListParagraph"/>
        <w:spacing w:after="0" w:line="276" w:lineRule="auto"/>
        <w:ind w:left="0"/>
        <w:jc w:val="both"/>
        <w:rPr>
          <w:sz w:val="22"/>
          <w:szCs w:val="22"/>
          <w:lang w:val="en-GB"/>
        </w:rPr>
      </w:pPr>
    </w:p>
    <w:p w14:paraId="526A2782" w14:textId="32BA9E66" w:rsidR="00A621D8" w:rsidRDefault="00A621D8" w:rsidP="00A6733C">
      <w:pPr>
        <w:pStyle w:val="ListParagraph"/>
        <w:spacing w:after="0" w:line="276" w:lineRule="auto"/>
        <w:ind w:left="0"/>
        <w:jc w:val="both"/>
        <w:rPr>
          <w:sz w:val="22"/>
          <w:szCs w:val="22"/>
          <w:lang w:val="en-GB"/>
        </w:rPr>
      </w:pPr>
      <w:r>
        <w:rPr>
          <w:sz w:val="22"/>
          <w:szCs w:val="22"/>
          <w:lang w:val="en-GB"/>
        </w:rPr>
        <w:t xml:space="preserve">The Manager </w:t>
      </w:r>
      <w:r w:rsidRPr="0058344C">
        <w:rPr>
          <w:sz w:val="22"/>
          <w:szCs w:val="22"/>
          <w:lang w:val="en-GB"/>
        </w:rPr>
        <w:t>will do a qualitative assessment of sustainability indicators on a regular basis</w:t>
      </w:r>
      <w:r>
        <w:rPr>
          <w:sz w:val="22"/>
          <w:szCs w:val="22"/>
          <w:lang w:val="en-GB"/>
        </w:rPr>
        <w:t xml:space="preserve"> and will </w:t>
      </w:r>
      <w:r w:rsidRPr="0058344C">
        <w:rPr>
          <w:sz w:val="22"/>
          <w:szCs w:val="22"/>
          <w:lang w:val="en-GB"/>
        </w:rPr>
        <w:t>actively monitor sustainability indicators and ESG incidents and will review ESG progress on an annual basis</w:t>
      </w:r>
      <w:r>
        <w:rPr>
          <w:sz w:val="22"/>
          <w:szCs w:val="22"/>
          <w:lang w:val="en-GB"/>
        </w:rPr>
        <w:t xml:space="preserve">. </w:t>
      </w:r>
    </w:p>
    <w:p w14:paraId="3F19F333" w14:textId="77777777" w:rsidR="00866466" w:rsidRDefault="00866466" w:rsidP="00A6733C">
      <w:pPr>
        <w:pStyle w:val="ListParagraph"/>
        <w:spacing w:after="0" w:line="276" w:lineRule="auto"/>
        <w:ind w:left="0"/>
        <w:jc w:val="both"/>
        <w:rPr>
          <w:sz w:val="22"/>
          <w:szCs w:val="22"/>
          <w:lang w:val="en-GB"/>
        </w:rPr>
      </w:pPr>
    </w:p>
    <w:p w14:paraId="2653DEA3" w14:textId="24A45CED" w:rsidR="00B06F65" w:rsidRPr="008049D2" w:rsidRDefault="009312B4" w:rsidP="00A6733C">
      <w:pPr>
        <w:pStyle w:val="Heading1"/>
        <w:numPr>
          <w:ilvl w:val="0"/>
          <w:numId w:val="26"/>
        </w:numPr>
        <w:spacing w:after="0"/>
        <w:ind w:left="709"/>
        <w:rPr>
          <w:sz w:val="22"/>
          <w:szCs w:val="22"/>
          <w:lang w:val="en-GB"/>
        </w:rPr>
      </w:pPr>
      <w:r w:rsidRPr="008049D2">
        <w:rPr>
          <w:sz w:val="22"/>
          <w:szCs w:val="22"/>
          <w:lang w:val="en-GB"/>
        </w:rPr>
        <w:t>Methodologies</w:t>
      </w:r>
      <w:r w:rsidR="003F200D">
        <w:rPr>
          <w:sz w:val="22"/>
          <w:szCs w:val="22"/>
          <w:lang w:val="en-GB"/>
        </w:rPr>
        <w:t xml:space="preserve"> </w:t>
      </w:r>
    </w:p>
    <w:p w14:paraId="3835B303" w14:textId="74535B15" w:rsidR="000429F9" w:rsidRDefault="000429F9" w:rsidP="00A6733C">
      <w:pPr>
        <w:pStyle w:val="ListParagraph"/>
        <w:spacing w:after="0" w:line="276" w:lineRule="auto"/>
        <w:ind w:left="0"/>
        <w:jc w:val="both"/>
        <w:rPr>
          <w:sz w:val="22"/>
          <w:szCs w:val="22"/>
          <w:lang w:val="en-GB"/>
        </w:rPr>
      </w:pPr>
      <w:r>
        <w:rPr>
          <w:sz w:val="22"/>
          <w:szCs w:val="22"/>
          <w:lang w:val="en-GB"/>
        </w:rPr>
        <w:t>The Manager’s</w:t>
      </w:r>
      <w:r w:rsidRPr="000429F9">
        <w:rPr>
          <w:sz w:val="22"/>
          <w:szCs w:val="22"/>
          <w:lang w:val="en-GB"/>
        </w:rPr>
        <w:t xml:space="preserve"> impact and ESG assessment and management methodology is based on the following tools:</w:t>
      </w:r>
      <w:r w:rsidR="00A621D8">
        <w:rPr>
          <w:sz w:val="22"/>
          <w:szCs w:val="22"/>
          <w:lang w:val="en-GB"/>
        </w:rPr>
        <w:t xml:space="preserve"> </w:t>
      </w:r>
    </w:p>
    <w:p w14:paraId="2E8A5220" w14:textId="77777777" w:rsidR="000429F9" w:rsidRPr="000429F9" w:rsidRDefault="000429F9" w:rsidP="00A6733C">
      <w:pPr>
        <w:pStyle w:val="ListParagraph"/>
        <w:spacing w:after="0" w:line="276" w:lineRule="auto"/>
        <w:ind w:left="0"/>
        <w:jc w:val="both"/>
        <w:rPr>
          <w:sz w:val="22"/>
          <w:szCs w:val="22"/>
          <w:lang w:val="en-GB"/>
        </w:rPr>
      </w:pPr>
    </w:p>
    <w:p w14:paraId="2888724A" w14:textId="08D1882A" w:rsidR="000429F9" w:rsidRPr="00265663" w:rsidRDefault="000429F9" w:rsidP="00A6733C">
      <w:pPr>
        <w:pStyle w:val="ListParagraph"/>
        <w:numPr>
          <w:ilvl w:val="0"/>
          <w:numId w:val="42"/>
        </w:numPr>
        <w:spacing w:after="0" w:line="276" w:lineRule="auto"/>
        <w:jc w:val="both"/>
        <w:rPr>
          <w:b/>
          <w:bCs/>
          <w:sz w:val="22"/>
          <w:szCs w:val="22"/>
          <w:lang w:val="en-GB"/>
        </w:rPr>
      </w:pPr>
      <w:r w:rsidRPr="00265663">
        <w:rPr>
          <w:b/>
          <w:bCs/>
          <w:sz w:val="22"/>
          <w:szCs w:val="22"/>
          <w:lang w:val="en-GB"/>
        </w:rPr>
        <w:t xml:space="preserve">Impact Management Project </w:t>
      </w:r>
    </w:p>
    <w:p w14:paraId="3A927AAC" w14:textId="7A6657B0" w:rsidR="000429F9" w:rsidRDefault="000429F9" w:rsidP="00A6733C">
      <w:pPr>
        <w:spacing w:after="0" w:line="276" w:lineRule="auto"/>
        <w:jc w:val="both"/>
        <w:rPr>
          <w:sz w:val="22"/>
          <w:szCs w:val="22"/>
          <w:lang w:val="en-GB"/>
        </w:rPr>
      </w:pPr>
      <w:r w:rsidRPr="000429F9">
        <w:rPr>
          <w:sz w:val="22"/>
          <w:szCs w:val="22"/>
          <w:lang w:val="en-GB"/>
        </w:rPr>
        <w:t>The Impact Management Project ("</w:t>
      </w:r>
      <w:r w:rsidRPr="00265663">
        <w:rPr>
          <w:b/>
          <w:bCs/>
          <w:sz w:val="22"/>
          <w:szCs w:val="22"/>
          <w:lang w:val="en-GB"/>
        </w:rPr>
        <w:t>IMP</w:t>
      </w:r>
      <w:r w:rsidRPr="000429F9">
        <w:rPr>
          <w:sz w:val="22"/>
          <w:szCs w:val="22"/>
          <w:lang w:val="en-GB"/>
        </w:rPr>
        <w:t xml:space="preserve">") is a working group of over 700 practitioners from across geographies and disciplines. The group establishes consensus on how the impact investing industry talks about, measures and manages impact, bridging the perspectives of investment, grant-making, business, non-profits, social science, evaluation, wealth management, policy, standards bodies and accounting (among others). The approach has been global, open and iterative through in-person and virtual sessions. </w:t>
      </w:r>
    </w:p>
    <w:p w14:paraId="433EF2AC" w14:textId="77777777" w:rsidR="00265663" w:rsidRPr="000429F9" w:rsidRDefault="00265663" w:rsidP="00A6733C">
      <w:pPr>
        <w:spacing w:after="0" w:line="276" w:lineRule="auto"/>
        <w:jc w:val="both"/>
        <w:rPr>
          <w:sz w:val="22"/>
          <w:szCs w:val="22"/>
          <w:lang w:val="en-GB"/>
        </w:rPr>
      </w:pPr>
    </w:p>
    <w:p w14:paraId="2078E0A4" w14:textId="79A49C81" w:rsidR="000429F9" w:rsidRDefault="000429F9" w:rsidP="00A6733C">
      <w:pPr>
        <w:pStyle w:val="ListParagraph"/>
        <w:spacing w:after="0" w:line="276" w:lineRule="auto"/>
        <w:ind w:left="0"/>
        <w:jc w:val="both"/>
        <w:rPr>
          <w:sz w:val="22"/>
          <w:szCs w:val="22"/>
          <w:lang w:val="en-GB"/>
        </w:rPr>
      </w:pPr>
      <w:r>
        <w:rPr>
          <w:sz w:val="22"/>
          <w:szCs w:val="22"/>
          <w:lang w:val="en-GB"/>
        </w:rPr>
        <w:t>The Manager</w:t>
      </w:r>
      <w:r w:rsidRPr="000429F9">
        <w:rPr>
          <w:sz w:val="22"/>
          <w:szCs w:val="22"/>
          <w:lang w:val="en-GB"/>
        </w:rPr>
        <w:t xml:space="preserve"> actively contribute</w:t>
      </w:r>
      <w:r>
        <w:rPr>
          <w:sz w:val="22"/>
          <w:szCs w:val="22"/>
          <w:lang w:val="en-GB"/>
        </w:rPr>
        <w:t>s</w:t>
      </w:r>
      <w:r w:rsidRPr="000429F9">
        <w:rPr>
          <w:sz w:val="22"/>
          <w:szCs w:val="22"/>
          <w:lang w:val="en-GB"/>
        </w:rPr>
        <w:t xml:space="preserve"> to the development of this industry-wide framework and is one of the first global impact investment firms which has adopted and integrated the work and findings of IMP in its due diligence process. </w:t>
      </w:r>
    </w:p>
    <w:p w14:paraId="3B150ABB" w14:textId="77777777" w:rsidR="000429F9" w:rsidRPr="000429F9" w:rsidRDefault="000429F9" w:rsidP="00A6733C">
      <w:pPr>
        <w:pStyle w:val="ListParagraph"/>
        <w:spacing w:after="0" w:line="276" w:lineRule="auto"/>
        <w:ind w:left="0"/>
        <w:jc w:val="both"/>
        <w:rPr>
          <w:sz w:val="22"/>
          <w:szCs w:val="22"/>
          <w:lang w:val="en-GB"/>
        </w:rPr>
      </w:pPr>
    </w:p>
    <w:p w14:paraId="0F4E30BA" w14:textId="60E57EF4" w:rsidR="000429F9" w:rsidRPr="00265663" w:rsidRDefault="000429F9" w:rsidP="00A6733C">
      <w:pPr>
        <w:pStyle w:val="ListParagraph"/>
        <w:numPr>
          <w:ilvl w:val="0"/>
          <w:numId w:val="42"/>
        </w:numPr>
        <w:spacing w:after="0" w:line="276" w:lineRule="auto"/>
        <w:jc w:val="both"/>
        <w:rPr>
          <w:b/>
          <w:bCs/>
          <w:sz w:val="22"/>
          <w:szCs w:val="22"/>
          <w:lang w:val="en-GB"/>
        </w:rPr>
      </w:pPr>
      <w:r w:rsidRPr="00265663">
        <w:rPr>
          <w:b/>
          <w:bCs/>
          <w:sz w:val="22"/>
          <w:szCs w:val="22"/>
          <w:lang w:val="en-GB"/>
        </w:rPr>
        <w:t>Logic Model ("Theory of Change")</w:t>
      </w:r>
    </w:p>
    <w:p w14:paraId="61B578D8" w14:textId="60F09483" w:rsidR="000429F9" w:rsidRDefault="000429F9" w:rsidP="00A6733C">
      <w:pPr>
        <w:spacing w:after="0" w:line="276" w:lineRule="auto"/>
        <w:jc w:val="both"/>
        <w:rPr>
          <w:sz w:val="22"/>
          <w:szCs w:val="22"/>
          <w:lang w:val="en-GB"/>
        </w:rPr>
      </w:pPr>
      <w:r w:rsidRPr="000429F9">
        <w:rPr>
          <w:sz w:val="22"/>
          <w:szCs w:val="22"/>
          <w:lang w:val="en-GB"/>
        </w:rPr>
        <w:t>A Logic Model (also known as "</w:t>
      </w:r>
      <w:r w:rsidRPr="00691951">
        <w:rPr>
          <w:b/>
          <w:bCs/>
          <w:sz w:val="22"/>
          <w:szCs w:val="22"/>
          <w:lang w:val="en-GB"/>
        </w:rPr>
        <w:t>Theory of Change</w:t>
      </w:r>
      <w:r w:rsidRPr="000429F9">
        <w:rPr>
          <w:sz w:val="22"/>
          <w:szCs w:val="22"/>
          <w:lang w:val="en-GB"/>
        </w:rPr>
        <w:t>") is a tool used by funders, managers and evaluators of development programs to evaluate the effectiveness of a program or intervention. Logic models are usually a graphical depiction of the logical relationships between the resources, activities, outputs and outcomes of a program. For more information please see W.K. Kellogg Foundation, "Logic Model Development Guide".</w:t>
      </w:r>
    </w:p>
    <w:p w14:paraId="087E523D" w14:textId="77777777" w:rsidR="00265663" w:rsidRPr="000429F9" w:rsidRDefault="00265663" w:rsidP="00A6733C">
      <w:pPr>
        <w:spacing w:after="0" w:line="276" w:lineRule="auto"/>
        <w:jc w:val="both"/>
        <w:rPr>
          <w:sz w:val="22"/>
          <w:szCs w:val="22"/>
          <w:lang w:val="en-GB"/>
        </w:rPr>
      </w:pPr>
    </w:p>
    <w:p w14:paraId="09E9DF5F" w14:textId="55F2A746" w:rsidR="000429F9" w:rsidRPr="000429F9" w:rsidRDefault="000429F9" w:rsidP="00A6733C">
      <w:pPr>
        <w:spacing w:after="0" w:line="276" w:lineRule="auto"/>
        <w:jc w:val="both"/>
        <w:rPr>
          <w:sz w:val="22"/>
          <w:szCs w:val="22"/>
          <w:lang w:val="en-GB"/>
        </w:rPr>
      </w:pPr>
      <w:r w:rsidRPr="000429F9">
        <w:rPr>
          <w:sz w:val="22"/>
          <w:szCs w:val="22"/>
          <w:lang w:val="en-GB"/>
        </w:rPr>
        <w:t xml:space="preserve">While there are many ways in which logic models are used, </w:t>
      </w:r>
      <w:r>
        <w:rPr>
          <w:sz w:val="22"/>
          <w:szCs w:val="22"/>
          <w:lang w:val="en-GB"/>
        </w:rPr>
        <w:t>the Manager</w:t>
      </w:r>
      <w:r w:rsidRPr="000429F9">
        <w:rPr>
          <w:sz w:val="22"/>
          <w:szCs w:val="22"/>
          <w:lang w:val="en-GB"/>
        </w:rPr>
        <w:t xml:space="preserve"> uses logic models to:</w:t>
      </w:r>
    </w:p>
    <w:p w14:paraId="6C2AFE60" w14:textId="77777777" w:rsidR="000429F9" w:rsidRPr="000429F9" w:rsidRDefault="000429F9" w:rsidP="00A6733C">
      <w:pPr>
        <w:pStyle w:val="ListParagraph"/>
        <w:numPr>
          <w:ilvl w:val="0"/>
          <w:numId w:val="43"/>
        </w:numPr>
        <w:spacing w:after="0" w:line="276" w:lineRule="auto"/>
        <w:jc w:val="both"/>
        <w:rPr>
          <w:sz w:val="22"/>
          <w:szCs w:val="22"/>
          <w:lang w:val="en-GB"/>
        </w:rPr>
      </w:pPr>
      <w:r w:rsidRPr="000429F9">
        <w:rPr>
          <w:sz w:val="22"/>
          <w:szCs w:val="22"/>
          <w:lang w:val="en-GB"/>
        </w:rPr>
        <w:lastRenderedPageBreak/>
        <w:t>assess the causal relationships between inputs, outputs, short-term outcomes and long-term outcomes (impact) of an investment</w:t>
      </w:r>
    </w:p>
    <w:p w14:paraId="486D91ED" w14:textId="77777777" w:rsidR="000429F9" w:rsidRPr="000429F9" w:rsidRDefault="000429F9" w:rsidP="00A6733C">
      <w:pPr>
        <w:pStyle w:val="ListParagraph"/>
        <w:numPr>
          <w:ilvl w:val="0"/>
          <w:numId w:val="43"/>
        </w:numPr>
        <w:spacing w:after="0" w:line="276" w:lineRule="auto"/>
        <w:jc w:val="both"/>
        <w:rPr>
          <w:sz w:val="22"/>
          <w:szCs w:val="22"/>
          <w:lang w:val="en-GB"/>
        </w:rPr>
      </w:pPr>
      <w:r w:rsidRPr="000429F9">
        <w:rPr>
          <w:sz w:val="22"/>
          <w:szCs w:val="22"/>
          <w:lang w:val="en-GB"/>
        </w:rPr>
        <w:t>link measurable outputs of an organization to the SDTs/SDGs</w:t>
      </w:r>
    </w:p>
    <w:p w14:paraId="2E83FE0D" w14:textId="3BFC9ED8" w:rsidR="000429F9" w:rsidRDefault="000429F9" w:rsidP="00A6733C">
      <w:pPr>
        <w:pStyle w:val="ListParagraph"/>
        <w:numPr>
          <w:ilvl w:val="0"/>
          <w:numId w:val="43"/>
        </w:numPr>
        <w:spacing w:after="0" w:line="276" w:lineRule="auto"/>
        <w:jc w:val="both"/>
        <w:rPr>
          <w:sz w:val="22"/>
          <w:szCs w:val="22"/>
          <w:lang w:val="en-GB"/>
        </w:rPr>
      </w:pPr>
      <w:r w:rsidRPr="000429F9">
        <w:rPr>
          <w:sz w:val="22"/>
          <w:szCs w:val="22"/>
          <w:lang w:val="en-GB"/>
        </w:rPr>
        <w:t>establish impact KPIs in support of SDTs/SDGs</w:t>
      </w:r>
    </w:p>
    <w:p w14:paraId="18B6011B" w14:textId="77777777" w:rsidR="000429F9" w:rsidRPr="000429F9" w:rsidRDefault="000429F9" w:rsidP="00A6733C">
      <w:pPr>
        <w:pStyle w:val="ListParagraph"/>
        <w:spacing w:after="0" w:line="276" w:lineRule="auto"/>
        <w:jc w:val="both"/>
        <w:rPr>
          <w:sz w:val="22"/>
          <w:szCs w:val="22"/>
          <w:lang w:val="en-GB"/>
        </w:rPr>
      </w:pPr>
    </w:p>
    <w:p w14:paraId="19552E1F" w14:textId="77777777" w:rsidR="000429F9" w:rsidRPr="00265663" w:rsidRDefault="000429F9" w:rsidP="00A6733C">
      <w:pPr>
        <w:pStyle w:val="ListParagraph"/>
        <w:numPr>
          <w:ilvl w:val="0"/>
          <w:numId w:val="42"/>
        </w:numPr>
        <w:spacing w:after="0" w:line="276" w:lineRule="auto"/>
        <w:jc w:val="both"/>
        <w:rPr>
          <w:b/>
          <w:bCs/>
          <w:sz w:val="22"/>
          <w:szCs w:val="22"/>
          <w:lang w:val="en-GB"/>
        </w:rPr>
      </w:pPr>
      <w:r w:rsidRPr="00265663">
        <w:rPr>
          <w:b/>
          <w:bCs/>
          <w:sz w:val="22"/>
          <w:szCs w:val="22"/>
          <w:lang w:val="en-GB"/>
        </w:rPr>
        <w:t>United Nations Sustainable Development Goals</w:t>
      </w:r>
    </w:p>
    <w:p w14:paraId="200D615D" w14:textId="7125B02B" w:rsidR="000429F9" w:rsidRDefault="000429F9" w:rsidP="00A6733C">
      <w:pPr>
        <w:spacing w:after="0" w:line="276" w:lineRule="auto"/>
        <w:jc w:val="both"/>
        <w:rPr>
          <w:sz w:val="22"/>
          <w:szCs w:val="22"/>
          <w:lang w:val="en-GB"/>
        </w:rPr>
      </w:pPr>
      <w:r w:rsidRPr="000429F9">
        <w:rPr>
          <w:sz w:val="22"/>
          <w:szCs w:val="22"/>
          <w:lang w:val="en-GB"/>
        </w:rPr>
        <w:t>The Manager</w:t>
      </w:r>
      <w:r w:rsidR="00E36482">
        <w:rPr>
          <w:sz w:val="22"/>
          <w:szCs w:val="22"/>
          <w:lang w:val="en-GB"/>
        </w:rPr>
        <w:t>, the Adviser</w:t>
      </w:r>
      <w:r w:rsidRPr="000429F9">
        <w:rPr>
          <w:sz w:val="22"/>
          <w:szCs w:val="22"/>
          <w:lang w:val="en-GB"/>
        </w:rPr>
        <w:t xml:space="preserve"> and the Fund </w:t>
      </w:r>
      <w:r w:rsidR="00E36482">
        <w:rPr>
          <w:sz w:val="22"/>
          <w:szCs w:val="22"/>
          <w:lang w:val="en-GB"/>
        </w:rPr>
        <w:t>are</w:t>
      </w:r>
      <w:r w:rsidRPr="000429F9">
        <w:rPr>
          <w:sz w:val="22"/>
          <w:szCs w:val="22"/>
          <w:lang w:val="en-GB"/>
        </w:rPr>
        <w:t xml:space="preserve"> fully aligned with the United Nations' Sustainable Development Goals (UN's SDGs), both as an organization and through all its investment activities. To ensure alignment with the SDGs, </w:t>
      </w:r>
      <w:r w:rsidR="000A38E9">
        <w:rPr>
          <w:sz w:val="22"/>
          <w:szCs w:val="22"/>
          <w:lang w:val="en-GB"/>
        </w:rPr>
        <w:t>the Adviser</w:t>
      </w:r>
      <w:r w:rsidRPr="000429F9">
        <w:rPr>
          <w:sz w:val="22"/>
          <w:szCs w:val="22"/>
          <w:lang w:val="en-GB"/>
        </w:rPr>
        <w:t xml:space="preserve"> develops a logic model for each investment that links the investees' Outputs to Outcomes, Impact, and applicable Sustainable Development Targets (SDTs).</w:t>
      </w:r>
    </w:p>
    <w:p w14:paraId="4DE462CC" w14:textId="77777777" w:rsidR="00265663" w:rsidRPr="000429F9" w:rsidRDefault="00265663" w:rsidP="00A6733C">
      <w:pPr>
        <w:spacing w:after="0" w:line="276" w:lineRule="auto"/>
        <w:jc w:val="both"/>
        <w:rPr>
          <w:sz w:val="22"/>
          <w:szCs w:val="22"/>
          <w:lang w:val="en-GB"/>
        </w:rPr>
      </w:pPr>
    </w:p>
    <w:p w14:paraId="3C5CDEFD" w14:textId="77777777" w:rsidR="000429F9" w:rsidRPr="00265663" w:rsidRDefault="000429F9" w:rsidP="00A6733C">
      <w:pPr>
        <w:pStyle w:val="ListParagraph"/>
        <w:numPr>
          <w:ilvl w:val="0"/>
          <w:numId w:val="42"/>
        </w:numPr>
        <w:spacing w:after="0" w:line="276" w:lineRule="auto"/>
        <w:jc w:val="both"/>
        <w:rPr>
          <w:b/>
          <w:bCs/>
          <w:sz w:val="22"/>
          <w:szCs w:val="22"/>
          <w:lang w:val="en-GB"/>
        </w:rPr>
      </w:pPr>
      <w:r w:rsidRPr="00265663">
        <w:rPr>
          <w:b/>
          <w:bCs/>
          <w:sz w:val="22"/>
          <w:szCs w:val="22"/>
          <w:lang w:val="en-GB"/>
        </w:rPr>
        <w:t xml:space="preserve">IRIS metrics </w:t>
      </w:r>
    </w:p>
    <w:p w14:paraId="51E35E36" w14:textId="3F145B88" w:rsidR="000429F9" w:rsidRPr="000429F9" w:rsidRDefault="000429F9" w:rsidP="00A6733C">
      <w:pPr>
        <w:spacing w:after="0" w:line="276" w:lineRule="auto"/>
        <w:jc w:val="both"/>
        <w:rPr>
          <w:sz w:val="22"/>
          <w:szCs w:val="22"/>
          <w:lang w:val="en-GB"/>
        </w:rPr>
      </w:pPr>
      <w:r w:rsidRPr="000429F9">
        <w:rPr>
          <w:sz w:val="22"/>
          <w:szCs w:val="22"/>
          <w:lang w:val="en-GB"/>
        </w:rPr>
        <w:t xml:space="preserve">IRIS is the </w:t>
      </w:r>
      <w:proofErr w:type="spellStart"/>
      <w:r w:rsidRPr="000429F9">
        <w:rPr>
          <w:sz w:val="22"/>
          <w:szCs w:val="22"/>
          <w:lang w:val="en-GB"/>
        </w:rPr>
        <w:t>catalog</w:t>
      </w:r>
      <w:proofErr w:type="spellEnd"/>
      <w:r w:rsidRPr="000429F9">
        <w:rPr>
          <w:sz w:val="22"/>
          <w:szCs w:val="22"/>
          <w:lang w:val="en-GB"/>
        </w:rPr>
        <w:t xml:space="preserve"> of generally accepted performance metrics that leading impact investors use to measure social, environmental and financial success. The </w:t>
      </w:r>
      <w:proofErr w:type="spellStart"/>
      <w:r w:rsidRPr="000429F9">
        <w:rPr>
          <w:sz w:val="22"/>
          <w:szCs w:val="22"/>
          <w:lang w:val="en-GB"/>
        </w:rPr>
        <w:t>catalog</w:t>
      </w:r>
      <w:proofErr w:type="spellEnd"/>
      <w:r w:rsidRPr="000429F9">
        <w:rPr>
          <w:sz w:val="22"/>
          <w:szCs w:val="22"/>
          <w:lang w:val="en-GB"/>
        </w:rPr>
        <w:t xml:space="preserve"> has been developed and is being maintained by the </w:t>
      </w:r>
      <w:hyperlink r:id="rId8" w:history="1">
        <w:r w:rsidRPr="000429F9">
          <w:rPr>
            <w:sz w:val="22"/>
            <w:szCs w:val="22"/>
            <w:lang w:val="en-GB"/>
          </w:rPr>
          <w:t>Global Impact Investing Network</w:t>
        </w:r>
      </w:hyperlink>
      <w:r w:rsidRPr="000429F9">
        <w:rPr>
          <w:sz w:val="22"/>
          <w:szCs w:val="22"/>
          <w:lang w:val="en-GB"/>
        </w:rPr>
        <w:t xml:space="preserve"> (GIIN). Where possible and meaningful, </w:t>
      </w:r>
      <w:r w:rsidR="000A38E9">
        <w:rPr>
          <w:sz w:val="22"/>
          <w:szCs w:val="22"/>
          <w:lang w:val="en-GB"/>
        </w:rPr>
        <w:t xml:space="preserve">the </w:t>
      </w:r>
      <w:r w:rsidR="00E36482">
        <w:rPr>
          <w:sz w:val="22"/>
          <w:szCs w:val="22"/>
          <w:lang w:val="en-GB"/>
        </w:rPr>
        <w:t>Manager</w:t>
      </w:r>
      <w:r w:rsidRPr="000429F9">
        <w:rPr>
          <w:sz w:val="22"/>
          <w:szCs w:val="22"/>
          <w:lang w:val="en-GB"/>
        </w:rPr>
        <w:t xml:space="preserve"> aligns its impact metrics with IRIS.  </w:t>
      </w:r>
    </w:p>
    <w:p w14:paraId="1AA21057" w14:textId="77777777" w:rsidR="000429F9" w:rsidRDefault="000429F9" w:rsidP="00A6733C">
      <w:pPr>
        <w:pStyle w:val="BodyText"/>
        <w:spacing w:before="0"/>
        <w:rPr>
          <w:noProof/>
        </w:rPr>
      </w:pPr>
    </w:p>
    <w:p w14:paraId="5659A176" w14:textId="77777777" w:rsidR="000429F9" w:rsidRPr="00265663" w:rsidRDefault="000429F9" w:rsidP="00A6733C">
      <w:pPr>
        <w:pStyle w:val="ListParagraph"/>
        <w:numPr>
          <w:ilvl w:val="0"/>
          <w:numId w:val="42"/>
        </w:numPr>
        <w:spacing w:after="0" w:line="276" w:lineRule="auto"/>
        <w:jc w:val="both"/>
        <w:rPr>
          <w:b/>
          <w:bCs/>
          <w:sz w:val="22"/>
          <w:szCs w:val="22"/>
          <w:lang w:val="en-GB"/>
        </w:rPr>
      </w:pPr>
      <w:r w:rsidRPr="00265663">
        <w:rPr>
          <w:b/>
          <w:bCs/>
          <w:sz w:val="22"/>
          <w:szCs w:val="22"/>
          <w:lang w:val="en-GB"/>
        </w:rPr>
        <w:t>ESG Due Diligence Tools</w:t>
      </w:r>
    </w:p>
    <w:p w14:paraId="47940D20" w14:textId="77D90F5B" w:rsidR="000429F9" w:rsidRDefault="000429F9" w:rsidP="00A6733C">
      <w:pPr>
        <w:spacing w:after="0" w:line="276" w:lineRule="auto"/>
        <w:jc w:val="both"/>
        <w:rPr>
          <w:sz w:val="22"/>
          <w:szCs w:val="22"/>
          <w:lang w:val="en-GB"/>
        </w:rPr>
      </w:pPr>
      <w:r w:rsidRPr="000429F9">
        <w:rPr>
          <w:sz w:val="22"/>
          <w:szCs w:val="22"/>
          <w:lang w:val="en-GB"/>
        </w:rPr>
        <w:t xml:space="preserve">The goal of ESG due diligence is to protect value for clients through sustainability risk assessment and management. The ESG due diligence process aims to identify risks from ESG factors and areas for ESG engagement post-investment. </w:t>
      </w:r>
    </w:p>
    <w:p w14:paraId="5D2F00C1" w14:textId="77777777" w:rsidR="00265663" w:rsidRPr="000429F9" w:rsidRDefault="00265663" w:rsidP="00A6733C">
      <w:pPr>
        <w:spacing w:after="0" w:line="276" w:lineRule="auto"/>
        <w:jc w:val="both"/>
        <w:rPr>
          <w:sz w:val="22"/>
          <w:szCs w:val="22"/>
          <w:lang w:val="en-GB"/>
        </w:rPr>
      </w:pPr>
    </w:p>
    <w:p w14:paraId="4B3276FB" w14:textId="77777777" w:rsidR="000A38E9" w:rsidRPr="008049D2" w:rsidRDefault="000A38E9" w:rsidP="00A6733C">
      <w:pPr>
        <w:pStyle w:val="ListParagraph"/>
        <w:spacing w:after="0" w:line="276" w:lineRule="auto"/>
        <w:ind w:left="0"/>
        <w:rPr>
          <w:sz w:val="22"/>
          <w:szCs w:val="22"/>
          <w:lang w:val="en-GB"/>
        </w:rPr>
      </w:pPr>
      <w:r w:rsidRPr="008049D2">
        <w:rPr>
          <w:sz w:val="22"/>
          <w:szCs w:val="22"/>
          <w:lang w:val="en-GB"/>
        </w:rPr>
        <w:t xml:space="preserve">Please refer to section </w:t>
      </w:r>
      <w:r>
        <w:rPr>
          <w:sz w:val="22"/>
          <w:szCs w:val="22"/>
          <w:lang w:val="en-GB"/>
        </w:rPr>
        <w:t>X</w:t>
      </w:r>
      <w:r w:rsidRPr="008049D2">
        <w:rPr>
          <w:sz w:val="22"/>
          <w:szCs w:val="22"/>
          <w:lang w:val="en-GB"/>
        </w:rPr>
        <w:t xml:space="preserve"> “</w:t>
      </w:r>
      <w:r>
        <w:rPr>
          <w:sz w:val="22"/>
          <w:szCs w:val="22"/>
          <w:lang w:val="en-GB"/>
        </w:rPr>
        <w:t>Due Diligence</w:t>
      </w:r>
      <w:r w:rsidRPr="008049D2">
        <w:rPr>
          <w:sz w:val="22"/>
          <w:szCs w:val="22"/>
          <w:lang w:val="en-GB"/>
        </w:rPr>
        <w:t xml:space="preserve">” </w:t>
      </w:r>
      <w:r>
        <w:rPr>
          <w:sz w:val="22"/>
          <w:szCs w:val="22"/>
          <w:lang w:val="en-GB"/>
        </w:rPr>
        <w:t>below</w:t>
      </w:r>
      <w:r w:rsidRPr="008049D2">
        <w:rPr>
          <w:sz w:val="22"/>
          <w:szCs w:val="22"/>
          <w:lang w:val="en-GB"/>
        </w:rPr>
        <w:t xml:space="preserve"> for further details.</w:t>
      </w:r>
    </w:p>
    <w:p w14:paraId="16A32A63" w14:textId="77777777" w:rsidR="00F43488" w:rsidRPr="00585CEC" w:rsidRDefault="00F43488" w:rsidP="00A6733C">
      <w:pPr>
        <w:spacing w:after="0" w:line="276" w:lineRule="auto"/>
        <w:jc w:val="both"/>
        <w:rPr>
          <w:sz w:val="22"/>
          <w:szCs w:val="22"/>
          <w:lang w:val="en-GB"/>
        </w:rPr>
      </w:pPr>
    </w:p>
    <w:p w14:paraId="0B9E38D1" w14:textId="508DA66C" w:rsidR="008049D2" w:rsidRPr="008049D2" w:rsidRDefault="008049D2" w:rsidP="00A6733C">
      <w:pPr>
        <w:pStyle w:val="Heading1"/>
        <w:numPr>
          <w:ilvl w:val="0"/>
          <w:numId w:val="26"/>
        </w:numPr>
        <w:spacing w:after="0"/>
        <w:ind w:left="709"/>
        <w:rPr>
          <w:sz w:val="22"/>
          <w:szCs w:val="22"/>
          <w:lang w:val="en-GB"/>
        </w:rPr>
      </w:pPr>
      <w:r w:rsidRPr="008049D2">
        <w:rPr>
          <w:sz w:val="22"/>
          <w:szCs w:val="22"/>
          <w:lang w:val="en-GB"/>
        </w:rPr>
        <w:t>Data sources and processing</w:t>
      </w:r>
      <w:r w:rsidR="003F200D">
        <w:rPr>
          <w:sz w:val="22"/>
          <w:szCs w:val="22"/>
          <w:lang w:val="en-GB"/>
        </w:rPr>
        <w:t xml:space="preserve"> </w:t>
      </w:r>
      <w:r w:rsidR="00C57396">
        <w:rPr>
          <w:sz w:val="22"/>
          <w:szCs w:val="22"/>
          <w:lang w:val="en-GB"/>
        </w:rPr>
        <w:t xml:space="preserve"> </w:t>
      </w:r>
    </w:p>
    <w:p w14:paraId="318D94B9" w14:textId="6F3CDF20" w:rsidR="008049D2" w:rsidRDefault="007F33C8" w:rsidP="00A6733C">
      <w:pPr>
        <w:spacing w:after="0" w:line="276" w:lineRule="auto"/>
        <w:jc w:val="both"/>
        <w:rPr>
          <w:sz w:val="22"/>
          <w:szCs w:val="22"/>
          <w:lang w:val="en-GB"/>
        </w:rPr>
      </w:pPr>
      <w:bookmarkStart w:id="8" w:name="_Hlk65772651"/>
      <w:r w:rsidRPr="007F33C8">
        <w:rPr>
          <w:sz w:val="22"/>
          <w:szCs w:val="22"/>
          <w:lang w:val="en-GB"/>
        </w:rPr>
        <w:t xml:space="preserve">To assess the </w:t>
      </w:r>
      <w:r>
        <w:rPr>
          <w:sz w:val="22"/>
          <w:szCs w:val="22"/>
          <w:lang w:val="en-GB"/>
        </w:rPr>
        <w:t xml:space="preserve">attainment of the </w:t>
      </w:r>
      <w:r w:rsidRPr="007F33C8">
        <w:rPr>
          <w:sz w:val="22"/>
          <w:szCs w:val="22"/>
          <w:lang w:val="en-GB"/>
        </w:rPr>
        <w:t>environmental or social characteristics</w:t>
      </w:r>
      <w:r>
        <w:rPr>
          <w:sz w:val="22"/>
          <w:szCs w:val="22"/>
          <w:lang w:val="en-GB"/>
        </w:rPr>
        <w:t xml:space="preserve"> promoted by the Fund</w:t>
      </w:r>
      <w:r w:rsidRPr="007F33C8">
        <w:rPr>
          <w:sz w:val="22"/>
          <w:szCs w:val="22"/>
          <w:lang w:val="en-GB"/>
        </w:rPr>
        <w:t>,</w:t>
      </w:r>
      <w:r>
        <w:rPr>
          <w:sz w:val="22"/>
          <w:szCs w:val="22"/>
          <w:lang w:val="en-GB"/>
        </w:rPr>
        <w:t xml:space="preserve"> the </w:t>
      </w:r>
      <w:r w:rsidR="00E36482">
        <w:rPr>
          <w:sz w:val="22"/>
          <w:szCs w:val="22"/>
          <w:lang w:val="en-GB"/>
        </w:rPr>
        <w:t>Manager</w:t>
      </w:r>
      <w:r w:rsidRPr="007F33C8">
        <w:rPr>
          <w:sz w:val="22"/>
          <w:szCs w:val="22"/>
          <w:lang w:val="en-GB"/>
        </w:rPr>
        <w:t xml:space="preserve"> will undertake steps to understand </w:t>
      </w:r>
      <w:r>
        <w:rPr>
          <w:sz w:val="22"/>
          <w:szCs w:val="22"/>
          <w:lang w:val="en-GB"/>
        </w:rPr>
        <w:t xml:space="preserve">a </w:t>
      </w:r>
      <w:r w:rsidRPr="007F33C8">
        <w:rPr>
          <w:sz w:val="22"/>
          <w:szCs w:val="22"/>
          <w:lang w:val="en-GB"/>
        </w:rPr>
        <w:t xml:space="preserve">company or </w:t>
      </w:r>
      <w:r>
        <w:rPr>
          <w:sz w:val="22"/>
          <w:szCs w:val="22"/>
          <w:lang w:val="en-GB"/>
        </w:rPr>
        <w:t xml:space="preserve">a </w:t>
      </w:r>
      <w:r w:rsidRPr="007F33C8">
        <w:rPr>
          <w:sz w:val="22"/>
          <w:szCs w:val="22"/>
          <w:lang w:val="en-GB"/>
        </w:rPr>
        <w:t>fund’s current approach to recording impact-related data through a high-level review of its relevant definitions, processes and controls</w:t>
      </w:r>
      <w:r>
        <w:rPr>
          <w:sz w:val="22"/>
          <w:szCs w:val="22"/>
          <w:lang w:val="en-GB"/>
        </w:rPr>
        <w:t xml:space="preserve">. </w:t>
      </w:r>
    </w:p>
    <w:p w14:paraId="0D48C7DD" w14:textId="77777777" w:rsidR="00265663" w:rsidRDefault="00265663" w:rsidP="00A6733C">
      <w:pPr>
        <w:spacing w:after="0" w:line="276" w:lineRule="auto"/>
        <w:jc w:val="both"/>
        <w:rPr>
          <w:sz w:val="22"/>
          <w:szCs w:val="22"/>
          <w:lang w:val="en-GB"/>
        </w:rPr>
      </w:pPr>
    </w:p>
    <w:p w14:paraId="5BD113C8" w14:textId="3C2818DD" w:rsidR="007F33C8" w:rsidRDefault="007F33C8" w:rsidP="00A6733C">
      <w:pPr>
        <w:spacing w:after="0" w:line="276" w:lineRule="auto"/>
        <w:jc w:val="both"/>
        <w:rPr>
          <w:sz w:val="22"/>
          <w:szCs w:val="22"/>
          <w:lang w:val="en-GB"/>
        </w:rPr>
      </w:pPr>
      <w:r w:rsidRPr="007F33C8">
        <w:rPr>
          <w:sz w:val="22"/>
          <w:szCs w:val="22"/>
          <w:lang w:val="en-GB"/>
        </w:rPr>
        <w:t xml:space="preserve">Depending on the investee type and investment size, </w:t>
      </w:r>
      <w:r>
        <w:rPr>
          <w:sz w:val="22"/>
          <w:szCs w:val="22"/>
          <w:lang w:val="en-GB"/>
        </w:rPr>
        <w:t xml:space="preserve">the </w:t>
      </w:r>
      <w:r w:rsidR="00E36482">
        <w:rPr>
          <w:sz w:val="22"/>
          <w:szCs w:val="22"/>
          <w:lang w:val="en-GB"/>
        </w:rPr>
        <w:t>Manager</w:t>
      </w:r>
      <w:r w:rsidRPr="007F33C8">
        <w:rPr>
          <w:sz w:val="22"/>
          <w:szCs w:val="22"/>
          <w:lang w:val="en-GB"/>
        </w:rPr>
        <w:t xml:space="preserve"> may not have the ability to request reporting against specific metrics. In such cases, </w:t>
      </w:r>
      <w:r>
        <w:rPr>
          <w:sz w:val="22"/>
          <w:szCs w:val="22"/>
          <w:lang w:val="en-GB"/>
        </w:rPr>
        <w:t xml:space="preserve">the </w:t>
      </w:r>
      <w:r w:rsidR="00E36482">
        <w:rPr>
          <w:sz w:val="22"/>
          <w:szCs w:val="22"/>
          <w:lang w:val="en-GB"/>
        </w:rPr>
        <w:t>Manager</w:t>
      </w:r>
      <w:r w:rsidRPr="007F33C8">
        <w:rPr>
          <w:sz w:val="22"/>
          <w:szCs w:val="22"/>
          <w:lang w:val="en-GB"/>
        </w:rPr>
        <w:t xml:space="preserve"> will estimate impact data from measurable operating data, based on logic model developed for such investment during the due diligence phase</w:t>
      </w:r>
      <w:r>
        <w:rPr>
          <w:sz w:val="22"/>
          <w:szCs w:val="22"/>
          <w:lang w:val="en-GB"/>
        </w:rPr>
        <w:t>.</w:t>
      </w:r>
    </w:p>
    <w:p w14:paraId="694EBD3C" w14:textId="77777777" w:rsidR="00265663" w:rsidRDefault="00265663" w:rsidP="00A6733C">
      <w:pPr>
        <w:spacing w:after="0" w:line="276" w:lineRule="auto"/>
        <w:jc w:val="both"/>
        <w:rPr>
          <w:sz w:val="22"/>
          <w:szCs w:val="22"/>
          <w:lang w:val="en-GB"/>
        </w:rPr>
      </w:pPr>
    </w:p>
    <w:p w14:paraId="3A31EC67" w14:textId="229F91AC" w:rsidR="00296605" w:rsidRDefault="00296605" w:rsidP="00A6733C">
      <w:pPr>
        <w:spacing w:after="0" w:line="276" w:lineRule="auto"/>
        <w:jc w:val="both"/>
        <w:rPr>
          <w:sz w:val="22"/>
          <w:szCs w:val="22"/>
          <w:lang w:val="en-GB"/>
        </w:rPr>
      </w:pPr>
      <w:bookmarkStart w:id="9" w:name="_Hlk65773778"/>
      <w:r w:rsidRPr="00296605">
        <w:rPr>
          <w:sz w:val="22"/>
          <w:szCs w:val="22"/>
          <w:lang w:val="en-GB"/>
        </w:rPr>
        <w:t xml:space="preserve">On a quarterly basis, the </w:t>
      </w:r>
      <w:r w:rsidR="00E36482">
        <w:rPr>
          <w:sz w:val="22"/>
          <w:szCs w:val="22"/>
          <w:lang w:val="en-GB"/>
        </w:rPr>
        <w:t>Manager</w:t>
      </w:r>
      <w:r w:rsidRPr="00296605">
        <w:rPr>
          <w:sz w:val="22"/>
          <w:szCs w:val="22"/>
          <w:lang w:val="en-GB"/>
        </w:rPr>
        <w:t xml:space="preserve"> provides standardized and detailed investment reports. On an annual basis, the </w:t>
      </w:r>
      <w:r w:rsidR="00E36482">
        <w:rPr>
          <w:sz w:val="22"/>
          <w:szCs w:val="22"/>
          <w:lang w:val="en-GB"/>
        </w:rPr>
        <w:t>Manager</w:t>
      </w:r>
      <w:r w:rsidRPr="00296605">
        <w:rPr>
          <w:sz w:val="22"/>
          <w:szCs w:val="22"/>
          <w:lang w:val="en-GB"/>
        </w:rPr>
        <w:t xml:space="preserve"> produces a comprehensive Impact Report to all clients. The report provides detail on the performance of the portfolio against key impact-related metrics and the progress made on key ESG indicators, highlighting noteworthy trends or improvements with case studies. </w:t>
      </w:r>
    </w:p>
    <w:p w14:paraId="5EA436FE" w14:textId="77777777" w:rsidR="001A224E" w:rsidRPr="00296605" w:rsidRDefault="001A224E" w:rsidP="00A6733C">
      <w:pPr>
        <w:spacing w:after="0" w:line="276" w:lineRule="auto"/>
        <w:jc w:val="both"/>
        <w:rPr>
          <w:sz w:val="22"/>
          <w:szCs w:val="22"/>
          <w:lang w:val="en-GB"/>
        </w:rPr>
      </w:pPr>
    </w:p>
    <w:p w14:paraId="1E1A358D" w14:textId="5E623265" w:rsidR="007F33C8" w:rsidRDefault="00296605" w:rsidP="00A6733C">
      <w:pPr>
        <w:spacing w:after="0" w:line="276" w:lineRule="auto"/>
        <w:jc w:val="both"/>
        <w:rPr>
          <w:sz w:val="22"/>
          <w:szCs w:val="22"/>
          <w:lang w:val="en-GB"/>
        </w:rPr>
      </w:pPr>
      <w:r w:rsidRPr="00296605">
        <w:rPr>
          <w:sz w:val="22"/>
          <w:szCs w:val="22"/>
          <w:lang w:val="en-GB"/>
        </w:rPr>
        <w:t xml:space="preserve">Where possible, the </w:t>
      </w:r>
      <w:r w:rsidR="00E36482">
        <w:rPr>
          <w:sz w:val="22"/>
          <w:szCs w:val="22"/>
          <w:lang w:val="en-GB"/>
        </w:rPr>
        <w:t>Manager</w:t>
      </w:r>
      <w:r w:rsidRPr="00296605">
        <w:rPr>
          <w:sz w:val="22"/>
          <w:szCs w:val="22"/>
          <w:lang w:val="en-GB"/>
        </w:rPr>
        <w:t xml:space="preserve"> identifies common impact metrics that can be aggregated across assets at a sector and portfolio level. These are aggregated to show the collective impact of the portfolio and reported in the annual Impact Report.</w:t>
      </w:r>
      <w:bookmarkEnd w:id="8"/>
      <w:bookmarkEnd w:id="9"/>
    </w:p>
    <w:p w14:paraId="78343F41" w14:textId="77777777" w:rsidR="00265663" w:rsidRPr="00AC41F4" w:rsidRDefault="00265663" w:rsidP="00A6733C">
      <w:pPr>
        <w:spacing w:after="0" w:line="276" w:lineRule="auto"/>
        <w:jc w:val="both"/>
        <w:rPr>
          <w:sz w:val="22"/>
          <w:szCs w:val="22"/>
          <w:lang w:val="en-GB"/>
        </w:rPr>
      </w:pPr>
    </w:p>
    <w:p w14:paraId="71C929CA" w14:textId="69ABC9F0" w:rsidR="008049D2" w:rsidRPr="008049D2" w:rsidRDefault="008049D2" w:rsidP="00A6733C">
      <w:pPr>
        <w:pStyle w:val="Heading1"/>
        <w:numPr>
          <w:ilvl w:val="0"/>
          <w:numId w:val="26"/>
        </w:numPr>
        <w:spacing w:after="0"/>
        <w:ind w:left="709"/>
        <w:rPr>
          <w:sz w:val="22"/>
          <w:szCs w:val="22"/>
          <w:lang w:val="en-GB"/>
        </w:rPr>
      </w:pPr>
      <w:r w:rsidRPr="008049D2">
        <w:rPr>
          <w:sz w:val="22"/>
          <w:szCs w:val="22"/>
          <w:lang w:val="en-GB"/>
        </w:rPr>
        <w:lastRenderedPageBreak/>
        <w:t>Limitations to methodologies and data</w:t>
      </w:r>
      <w:r w:rsidR="003F200D">
        <w:rPr>
          <w:sz w:val="22"/>
          <w:szCs w:val="22"/>
          <w:lang w:val="en-GB"/>
        </w:rPr>
        <w:t xml:space="preserve"> </w:t>
      </w:r>
    </w:p>
    <w:p w14:paraId="1EF5082B" w14:textId="4FC39F2B" w:rsidR="008049D2" w:rsidRDefault="008049D2" w:rsidP="00A6733C">
      <w:pPr>
        <w:pStyle w:val="ListParagraph"/>
        <w:spacing w:after="0" w:line="276" w:lineRule="auto"/>
        <w:ind w:left="0"/>
        <w:jc w:val="both"/>
        <w:rPr>
          <w:sz w:val="22"/>
          <w:szCs w:val="22"/>
          <w:lang w:val="en-GB"/>
        </w:rPr>
      </w:pPr>
      <w:r w:rsidRPr="008049D2">
        <w:rPr>
          <w:sz w:val="22"/>
          <w:szCs w:val="22"/>
          <w:lang w:val="en-GB"/>
        </w:rPr>
        <w:t xml:space="preserve">Limitations to the methodologies and data referred to in the above sections </w:t>
      </w:r>
      <w:proofErr w:type="gramStart"/>
      <w:r w:rsidRPr="008049D2">
        <w:rPr>
          <w:sz w:val="22"/>
          <w:szCs w:val="22"/>
          <w:lang w:val="en-GB"/>
        </w:rPr>
        <w:t>include, but</w:t>
      </w:r>
      <w:proofErr w:type="gramEnd"/>
      <w:r w:rsidRPr="008049D2">
        <w:rPr>
          <w:sz w:val="22"/>
          <w:szCs w:val="22"/>
          <w:lang w:val="en-GB"/>
        </w:rPr>
        <w:t xml:space="preserve"> are not limited to: limited capacity to measure or report from the portfolio companies, human error in the provision of data</w:t>
      </w:r>
      <w:r w:rsidR="00F51B21">
        <w:rPr>
          <w:sz w:val="22"/>
          <w:szCs w:val="22"/>
          <w:lang w:val="en-GB"/>
        </w:rPr>
        <w:t>,</w:t>
      </w:r>
      <w:r w:rsidR="00F51B21" w:rsidRPr="00F51B21">
        <w:rPr>
          <w:sz w:val="22"/>
          <w:szCs w:val="22"/>
          <w:lang w:val="en-GB"/>
        </w:rPr>
        <w:t xml:space="preserve"> </w:t>
      </w:r>
      <w:r w:rsidR="007F308F">
        <w:t>limited</w:t>
      </w:r>
      <w:r w:rsidR="00F51B21">
        <w:t xml:space="preserve"> coverage and different reporting periods</w:t>
      </w:r>
      <w:r w:rsidRPr="008049D2">
        <w:rPr>
          <w:sz w:val="22"/>
          <w:szCs w:val="22"/>
          <w:lang w:val="en-GB"/>
        </w:rPr>
        <w:t>. The Manager expects its underlying assets and managers, when commercially sensible, to improve data quality and minimize the limitations mentioned above.</w:t>
      </w:r>
    </w:p>
    <w:p w14:paraId="1EBE1B80" w14:textId="77777777" w:rsidR="00265663" w:rsidRPr="00AC41F4" w:rsidRDefault="00265663" w:rsidP="00A6733C">
      <w:pPr>
        <w:pStyle w:val="ListParagraph"/>
        <w:spacing w:after="0" w:line="276" w:lineRule="auto"/>
        <w:ind w:left="0"/>
        <w:jc w:val="both"/>
        <w:rPr>
          <w:lang w:val="en-GB"/>
        </w:rPr>
      </w:pPr>
    </w:p>
    <w:p w14:paraId="1F59F50D" w14:textId="1702B54A" w:rsidR="00781CEA" w:rsidRPr="008049D2" w:rsidRDefault="009312B4" w:rsidP="00A6733C">
      <w:pPr>
        <w:pStyle w:val="Heading1"/>
        <w:numPr>
          <w:ilvl w:val="0"/>
          <w:numId w:val="26"/>
        </w:numPr>
        <w:spacing w:after="0"/>
        <w:ind w:left="709"/>
        <w:rPr>
          <w:sz w:val="22"/>
          <w:szCs w:val="22"/>
          <w:lang w:val="en-GB"/>
        </w:rPr>
      </w:pPr>
      <w:r w:rsidRPr="008049D2">
        <w:rPr>
          <w:sz w:val="22"/>
          <w:szCs w:val="22"/>
          <w:lang w:val="en-GB"/>
        </w:rPr>
        <w:t>Due diligence</w:t>
      </w:r>
      <w:r w:rsidR="00C9230F">
        <w:rPr>
          <w:sz w:val="22"/>
          <w:szCs w:val="22"/>
          <w:lang w:val="en-GB"/>
        </w:rPr>
        <w:t xml:space="preserve"> </w:t>
      </w:r>
    </w:p>
    <w:p w14:paraId="7A9EF95C" w14:textId="1D99FE64" w:rsidR="00381419" w:rsidRDefault="00381419" w:rsidP="00A6733C">
      <w:pPr>
        <w:pStyle w:val="ListParagraph"/>
        <w:spacing w:after="0" w:line="276" w:lineRule="auto"/>
        <w:ind w:left="0"/>
        <w:jc w:val="both"/>
        <w:rPr>
          <w:sz w:val="22"/>
          <w:szCs w:val="22"/>
          <w:lang w:val="en-GB"/>
        </w:rPr>
      </w:pPr>
      <w:r w:rsidRPr="00663871">
        <w:rPr>
          <w:sz w:val="22"/>
          <w:szCs w:val="22"/>
          <w:lang w:val="en-GB"/>
        </w:rPr>
        <w:t>Target companies and assets are selected only after thorough impact assessment, during both deal sourcing and due diligence for their potential to generate positive SDG-relevant environmental and social impacts</w:t>
      </w:r>
      <w:r w:rsidRPr="00D33E94">
        <w:rPr>
          <w:sz w:val="22"/>
          <w:szCs w:val="22"/>
          <w:lang w:val="en-GB"/>
        </w:rPr>
        <w:t xml:space="preserve">. </w:t>
      </w:r>
      <w:r w:rsidR="00100B87">
        <w:rPr>
          <w:sz w:val="22"/>
          <w:szCs w:val="22"/>
          <w:lang w:val="en-GB"/>
        </w:rPr>
        <w:t xml:space="preserve"> </w:t>
      </w:r>
    </w:p>
    <w:p w14:paraId="3FD12C58" w14:textId="77777777" w:rsidR="00381419" w:rsidRDefault="00381419" w:rsidP="00A6733C">
      <w:pPr>
        <w:pStyle w:val="ListParagraph"/>
        <w:spacing w:after="0" w:line="276" w:lineRule="auto"/>
        <w:ind w:left="0"/>
        <w:jc w:val="both"/>
        <w:rPr>
          <w:sz w:val="22"/>
          <w:szCs w:val="22"/>
          <w:lang w:val="en-GB"/>
        </w:rPr>
      </w:pPr>
    </w:p>
    <w:p w14:paraId="47205B84" w14:textId="77777777" w:rsidR="007252C1" w:rsidRDefault="00381419" w:rsidP="00A6733C">
      <w:pPr>
        <w:pStyle w:val="ListParagraph"/>
        <w:spacing w:after="0" w:line="276" w:lineRule="auto"/>
        <w:ind w:left="0"/>
        <w:jc w:val="both"/>
        <w:rPr>
          <w:sz w:val="22"/>
          <w:szCs w:val="22"/>
          <w:lang w:val="en-GB"/>
        </w:rPr>
      </w:pPr>
      <w:r w:rsidRPr="00A30DEA">
        <w:rPr>
          <w:sz w:val="22"/>
          <w:szCs w:val="22"/>
          <w:lang w:val="en-GB"/>
        </w:rPr>
        <w:t>During the due diligence process, impact is assessed based on a best-in-class</w:t>
      </w:r>
      <w:r>
        <w:rPr>
          <w:sz w:val="22"/>
          <w:szCs w:val="22"/>
          <w:lang w:val="en-GB"/>
        </w:rPr>
        <w:t xml:space="preserve"> </w:t>
      </w:r>
      <w:r w:rsidRPr="00A30DEA">
        <w:rPr>
          <w:sz w:val="22"/>
          <w:szCs w:val="22"/>
          <w:lang w:val="en-GB"/>
        </w:rPr>
        <w:t>impact methodology. A logic model is developed linking the investment to potential</w:t>
      </w:r>
      <w:r>
        <w:rPr>
          <w:sz w:val="22"/>
          <w:szCs w:val="22"/>
          <w:lang w:val="en-GB"/>
        </w:rPr>
        <w:t xml:space="preserve"> </w:t>
      </w:r>
      <w:r w:rsidRPr="00A30DEA">
        <w:rPr>
          <w:sz w:val="22"/>
          <w:szCs w:val="22"/>
          <w:lang w:val="en-GB"/>
        </w:rPr>
        <w:t>outputs, outcomes and ultimately SDG/SDT impacts. This is used as the basis to set key</w:t>
      </w:r>
      <w:r>
        <w:rPr>
          <w:sz w:val="22"/>
          <w:szCs w:val="22"/>
          <w:lang w:val="en-GB"/>
        </w:rPr>
        <w:t xml:space="preserve"> </w:t>
      </w:r>
      <w:r w:rsidRPr="00A30DEA">
        <w:rPr>
          <w:sz w:val="22"/>
          <w:szCs w:val="22"/>
          <w:lang w:val="en-GB"/>
        </w:rPr>
        <w:t xml:space="preserve">impact targets. </w:t>
      </w:r>
    </w:p>
    <w:p w14:paraId="713F8DDC" w14:textId="77777777" w:rsidR="007252C1" w:rsidRDefault="007252C1" w:rsidP="00A6733C">
      <w:pPr>
        <w:pStyle w:val="ListParagraph"/>
        <w:spacing w:after="0" w:line="276" w:lineRule="auto"/>
        <w:ind w:left="0"/>
        <w:jc w:val="both"/>
        <w:rPr>
          <w:sz w:val="22"/>
          <w:szCs w:val="22"/>
          <w:lang w:val="en-GB"/>
        </w:rPr>
      </w:pPr>
    </w:p>
    <w:p w14:paraId="569EF16D" w14:textId="4B2BB9AE" w:rsidR="00381419" w:rsidRDefault="00381419" w:rsidP="00A6733C">
      <w:pPr>
        <w:pStyle w:val="ListParagraph"/>
        <w:spacing w:after="0" w:line="276" w:lineRule="auto"/>
        <w:ind w:left="0"/>
        <w:jc w:val="both"/>
        <w:rPr>
          <w:sz w:val="22"/>
          <w:szCs w:val="22"/>
          <w:lang w:val="en-GB"/>
        </w:rPr>
      </w:pPr>
      <w:r w:rsidRPr="00A30DEA">
        <w:rPr>
          <w:sz w:val="22"/>
          <w:szCs w:val="22"/>
          <w:lang w:val="en-GB"/>
        </w:rPr>
        <w:t xml:space="preserve">A specific ESG analysis and assessment </w:t>
      </w:r>
      <w:r w:rsidR="007252C1">
        <w:rPr>
          <w:sz w:val="22"/>
          <w:szCs w:val="22"/>
          <w:lang w:val="en-GB"/>
        </w:rPr>
        <w:t>is</w:t>
      </w:r>
      <w:r w:rsidRPr="00A30DEA">
        <w:rPr>
          <w:sz w:val="22"/>
          <w:szCs w:val="22"/>
          <w:lang w:val="en-GB"/>
        </w:rPr>
        <w:t xml:space="preserve"> completed</w:t>
      </w:r>
      <w:r w:rsidR="00631515">
        <w:rPr>
          <w:sz w:val="22"/>
          <w:szCs w:val="22"/>
          <w:lang w:val="en-GB"/>
        </w:rPr>
        <w:t xml:space="preserve">, leveraging </w:t>
      </w:r>
      <w:proofErr w:type="spellStart"/>
      <w:r w:rsidR="003D16B3">
        <w:rPr>
          <w:sz w:val="22"/>
          <w:szCs w:val="22"/>
          <w:lang w:val="en-GB"/>
        </w:rPr>
        <w:t>BlueEarth's</w:t>
      </w:r>
      <w:proofErr w:type="spellEnd"/>
      <w:r w:rsidR="003D16B3">
        <w:rPr>
          <w:sz w:val="22"/>
          <w:szCs w:val="22"/>
          <w:lang w:val="en-GB"/>
        </w:rPr>
        <w:t xml:space="preserve"> proprietary ESG due diligence tools,</w:t>
      </w:r>
      <w:r w:rsidRPr="00A30DEA">
        <w:rPr>
          <w:sz w:val="22"/>
          <w:szCs w:val="22"/>
          <w:lang w:val="en-GB"/>
        </w:rPr>
        <w:t xml:space="preserve"> to identify and</w:t>
      </w:r>
      <w:r>
        <w:rPr>
          <w:sz w:val="22"/>
          <w:szCs w:val="22"/>
          <w:lang w:val="en-GB"/>
        </w:rPr>
        <w:t xml:space="preserve"> </w:t>
      </w:r>
      <w:r w:rsidRPr="00A30DEA">
        <w:rPr>
          <w:sz w:val="22"/>
          <w:szCs w:val="22"/>
          <w:lang w:val="en-GB"/>
        </w:rPr>
        <w:t>mitigate material Sustainability Risks (as defined above). Both impact assessment</w:t>
      </w:r>
      <w:r>
        <w:rPr>
          <w:sz w:val="22"/>
          <w:szCs w:val="22"/>
          <w:lang w:val="en-GB"/>
        </w:rPr>
        <w:t xml:space="preserve"> </w:t>
      </w:r>
      <w:r w:rsidRPr="00A30DEA">
        <w:rPr>
          <w:sz w:val="22"/>
          <w:szCs w:val="22"/>
          <w:lang w:val="en-GB"/>
        </w:rPr>
        <w:t>and ESG analysis are presented to and discussed in the investment committee</w:t>
      </w:r>
      <w:r>
        <w:rPr>
          <w:sz w:val="22"/>
          <w:szCs w:val="22"/>
          <w:lang w:val="en-GB"/>
        </w:rPr>
        <w:t xml:space="preserve"> and are</w:t>
      </w:r>
      <w:r w:rsidRPr="00D33E94">
        <w:rPr>
          <w:sz w:val="22"/>
          <w:szCs w:val="22"/>
          <w:lang w:val="en-GB"/>
        </w:rPr>
        <w:t xml:space="preserve"> considered by the </w:t>
      </w:r>
      <w:r>
        <w:rPr>
          <w:sz w:val="22"/>
          <w:szCs w:val="22"/>
          <w:lang w:val="en-GB"/>
        </w:rPr>
        <w:t>i</w:t>
      </w:r>
      <w:r w:rsidRPr="00D33E94">
        <w:rPr>
          <w:sz w:val="22"/>
          <w:szCs w:val="22"/>
          <w:lang w:val="en-GB"/>
        </w:rPr>
        <w:t xml:space="preserve">nvestment </w:t>
      </w:r>
      <w:r>
        <w:rPr>
          <w:sz w:val="22"/>
          <w:szCs w:val="22"/>
          <w:lang w:val="en-GB"/>
        </w:rPr>
        <w:t>c</w:t>
      </w:r>
      <w:r w:rsidRPr="00D33E94">
        <w:rPr>
          <w:sz w:val="22"/>
          <w:szCs w:val="22"/>
          <w:lang w:val="en-GB"/>
        </w:rPr>
        <w:t>ommittee as one of the key factors in deciding whether or not to invest.</w:t>
      </w:r>
    </w:p>
    <w:p w14:paraId="79AF6BBD" w14:textId="77777777" w:rsidR="00E738D9" w:rsidRDefault="00E738D9" w:rsidP="00A6733C">
      <w:pPr>
        <w:pStyle w:val="ListParagraph"/>
        <w:spacing w:after="0" w:line="276" w:lineRule="auto"/>
        <w:ind w:left="0"/>
        <w:jc w:val="both"/>
        <w:rPr>
          <w:sz w:val="22"/>
          <w:szCs w:val="22"/>
          <w:lang w:val="en-GB"/>
        </w:rPr>
      </w:pPr>
    </w:p>
    <w:p w14:paraId="46384C7D" w14:textId="77777777" w:rsidR="000A38E9" w:rsidRPr="000429F9" w:rsidRDefault="000A38E9" w:rsidP="00A6733C">
      <w:pPr>
        <w:spacing w:after="0" w:line="276" w:lineRule="auto"/>
        <w:jc w:val="both"/>
        <w:rPr>
          <w:sz w:val="22"/>
          <w:szCs w:val="22"/>
          <w:lang w:val="en-GB"/>
        </w:rPr>
      </w:pPr>
      <w:r w:rsidRPr="000429F9">
        <w:rPr>
          <w:sz w:val="22"/>
          <w:szCs w:val="22"/>
          <w:lang w:val="en-GB"/>
        </w:rPr>
        <w:t xml:space="preserve">The goal of ESG due diligence is to protect value for clients through sustainability risk assessment and management. The ESG due diligence process aims to identify risks from ESG factors and areas for ESG engagement post-investment. </w:t>
      </w:r>
    </w:p>
    <w:p w14:paraId="5EBC7B47" w14:textId="77777777" w:rsidR="00296605" w:rsidRPr="008049D2" w:rsidRDefault="00296605" w:rsidP="00A6733C">
      <w:pPr>
        <w:pStyle w:val="ListParagraph"/>
        <w:spacing w:after="0" w:line="276" w:lineRule="auto"/>
        <w:ind w:left="0"/>
        <w:rPr>
          <w:sz w:val="22"/>
          <w:szCs w:val="22"/>
          <w:lang w:val="en-GB"/>
        </w:rPr>
      </w:pPr>
    </w:p>
    <w:p w14:paraId="4444A650" w14:textId="338D6236" w:rsidR="00476BFE" w:rsidRPr="008049D2" w:rsidRDefault="009312B4" w:rsidP="00A6733C">
      <w:pPr>
        <w:pStyle w:val="Heading1"/>
        <w:numPr>
          <w:ilvl w:val="0"/>
          <w:numId w:val="26"/>
        </w:numPr>
        <w:spacing w:after="0"/>
        <w:ind w:left="709"/>
        <w:rPr>
          <w:lang w:val="en-GB"/>
        </w:rPr>
      </w:pPr>
      <w:r w:rsidRPr="008049D2">
        <w:rPr>
          <w:sz w:val="22"/>
          <w:szCs w:val="22"/>
          <w:lang w:val="en-GB"/>
        </w:rPr>
        <w:t>Engagement policies</w:t>
      </w:r>
      <w:r w:rsidR="00C9230F">
        <w:rPr>
          <w:sz w:val="22"/>
          <w:szCs w:val="22"/>
          <w:lang w:val="en-GB"/>
        </w:rPr>
        <w:t xml:space="preserve"> </w:t>
      </w:r>
    </w:p>
    <w:p w14:paraId="17D6DB62" w14:textId="6F9C78C1" w:rsidR="00B62810" w:rsidRDefault="00B62810" w:rsidP="00A6733C">
      <w:pPr>
        <w:pStyle w:val="ListParagraph"/>
        <w:spacing w:after="0" w:line="276" w:lineRule="auto"/>
        <w:ind w:left="0"/>
        <w:jc w:val="both"/>
        <w:rPr>
          <w:iCs/>
          <w:sz w:val="22"/>
          <w:szCs w:val="22"/>
          <w:lang w:val="en-GB"/>
        </w:rPr>
      </w:pPr>
      <w:r w:rsidRPr="00B62810">
        <w:rPr>
          <w:iCs/>
          <w:sz w:val="22"/>
          <w:szCs w:val="22"/>
          <w:lang w:val="en-GB"/>
        </w:rPr>
        <w:t xml:space="preserve">The Manager </w:t>
      </w:r>
      <w:r w:rsidR="00881BD3">
        <w:rPr>
          <w:iCs/>
          <w:sz w:val="22"/>
          <w:szCs w:val="22"/>
          <w:lang w:val="en-GB"/>
        </w:rPr>
        <w:t xml:space="preserve">will actively engage with target </w:t>
      </w:r>
      <w:r w:rsidRPr="00B62810">
        <w:rPr>
          <w:iCs/>
          <w:sz w:val="22"/>
          <w:szCs w:val="22"/>
          <w:lang w:val="en-GB"/>
        </w:rPr>
        <w:t>companies/Investments</w:t>
      </w:r>
      <w:r w:rsidR="00B4277F">
        <w:rPr>
          <w:iCs/>
          <w:sz w:val="22"/>
          <w:szCs w:val="22"/>
          <w:lang w:val="en-GB"/>
        </w:rPr>
        <w:t xml:space="preserve"> both through the due diligence process and </w:t>
      </w:r>
      <w:r w:rsidR="00A226CA">
        <w:rPr>
          <w:iCs/>
          <w:sz w:val="22"/>
          <w:szCs w:val="22"/>
          <w:lang w:val="en-GB"/>
        </w:rPr>
        <w:t>post-investment through the ownership period</w:t>
      </w:r>
      <w:r w:rsidRPr="00B62810">
        <w:rPr>
          <w:iCs/>
          <w:sz w:val="22"/>
          <w:szCs w:val="22"/>
          <w:lang w:val="en-GB"/>
        </w:rPr>
        <w:t>.</w:t>
      </w:r>
      <w:r w:rsidR="00A226CA">
        <w:rPr>
          <w:iCs/>
          <w:sz w:val="22"/>
          <w:szCs w:val="22"/>
          <w:lang w:val="en-GB"/>
        </w:rPr>
        <w:t xml:space="preserve"> The </w:t>
      </w:r>
      <w:r w:rsidR="000F16D7">
        <w:rPr>
          <w:iCs/>
          <w:sz w:val="22"/>
          <w:szCs w:val="22"/>
          <w:lang w:val="en-GB"/>
        </w:rPr>
        <w:t>precise nature of this engagement varies between investment strateg</w:t>
      </w:r>
      <w:r w:rsidR="00A443C8">
        <w:rPr>
          <w:iCs/>
          <w:sz w:val="22"/>
          <w:szCs w:val="22"/>
          <w:lang w:val="en-GB"/>
        </w:rPr>
        <w:t>ies</w:t>
      </w:r>
      <w:r w:rsidR="00426021">
        <w:rPr>
          <w:iCs/>
          <w:sz w:val="22"/>
          <w:szCs w:val="22"/>
          <w:lang w:val="en-GB"/>
        </w:rPr>
        <w:t>.</w:t>
      </w:r>
    </w:p>
    <w:p w14:paraId="7B2F04D2" w14:textId="77777777" w:rsidR="00CB6FB4" w:rsidRPr="008049D2" w:rsidRDefault="00CB6FB4" w:rsidP="00A6733C">
      <w:pPr>
        <w:pStyle w:val="ListParagraph"/>
        <w:spacing w:after="0" w:line="276" w:lineRule="auto"/>
        <w:ind w:left="0"/>
        <w:jc w:val="both"/>
        <w:rPr>
          <w:sz w:val="22"/>
          <w:szCs w:val="22"/>
          <w:lang w:val="en-GB"/>
        </w:rPr>
      </w:pPr>
    </w:p>
    <w:p w14:paraId="53F65924" w14:textId="76D17B7C" w:rsidR="007E6C40" w:rsidRPr="008049D2" w:rsidRDefault="007E6C40" w:rsidP="00A6733C">
      <w:pPr>
        <w:pStyle w:val="ListParagraph"/>
        <w:spacing w:after="0" w:line="276" w:lineRule="auto"/>
        <w:ind w:left="0"/>
        <w:jc w:val="both"/>
        <w:rPr>
          <w:sz w:val="22"/>
          <w:szCs w:val="22"/>
          <w:lang w:val="en-GB"/>
        </w:rPr>
      </w:pPr>
      <w:r w:rsidRPr="008049D2">
        <w:rPr>
          <w:sz w:val="22"/>
          <w:szCs w:val="22"/>
          <w:lang w:val="en-GB"/>
        </w:rPr>
        <w:t>Please</w:t>
      </w:r>
      <w:r w:rsidR="00CB6FB4" w:rsidRPr="008049D2">
        <w:rPr>
          <w:sz w:val="22"/>
          <w:szCs w:val="22"/>
          <w:lang w:val="en-GB"/>
        </w:rPr>
        <w:t xml:space="preserve"> also</w:t>
      </w:r>
      <w:r w:rsidRPr="008049D2">
        <w:rPr>
          <w:sz w:val="22"/>
          <w:szCs w:val="22"/>
          <w:lang w:val="en-GB"/>
        </w:rPr>
        <w:t xml:space="preserve"> refer to section IV “Investment Strategy” above for further details.</w:t>
      </w:r>
    </w:p>
    <w:p w14:paraId="5C3ECC59" w14:textId="77777777" w:rsidR="007E6C40" w:rsidRPr="008049D2" w:rsidRDefault="007E6C40" w:rsidP="00A6733C">
      <w:pPr>
        <w:pStyle w:val="ListParagraph"/>
        <w:spacing w:after="0" w:line="276" w:lineRule="auto"/>
        <w:jc w:val="both"/>
        <w:rPr>
          <w:sz w:val="22"/>
          <w:szCs w:val="22"/>
          <w:lang w:val="en-GB"/>
        </w:rPr>
      </w:pPr>
    </w:p>
    <w:p w14:paraId="66CF989B" w14:textId="77777777" w:rsidR="00DB7ECC" w:rsidRPr="008049D2" w:rsidRDefault="00DB7ECC" w:rsidP="00A6733C">
      <w:pPr>
        <w:pStyle w:val="Heading1"/>
        <w:numPr>
          <w:ilvl w:val="0"/>
          <w:numId w:val="26"/>
        </w:numPr>
        <w:spacing w:after="0"/>
        <w:ind w:left="709"/>
        <w:rPr>
          <w:sz w:val="22"/>
          <w:szCs w:val="22"/>
          <w:lang w:val="en-GB"/>
        </w:rPr>
      </w:pPr>
      <w:r w:rsidRPr="008049D2">
        <w:rPr>
          <w:sz w:val="22"/>
          <w:szCs w:val="22"/>
          <w:lang w:val="en-GB"/>
        </w:rPr>
        <w:t xml:space="preserve">Designated reference benchmark </w:t>
      </w:r>
    </w:p>
    <w:p w14:paraId="4EDAD05B" w14:textId="6226662A" w:rsidR="000D0468" w:rsidRDefault="00DB7ECC" w:rsidP="00A6733C">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therefore does not invest by reference to any index and does not intend to do so.</w:t>
      </w:r>
    </w:p>
    <w:p w14:paraId="762A564F" w14:textId="513E1AF8" w:rsidR="000B033F" w:rsidRDefault="000B033F" w:rsidP="00A6733C">
      <w:pPr>
        <w:pStyle w:val="ListParagraph"/>
        <w:spacing w:after="0" w:line="276" w:lineRule="auto"/>
        <w:ind w:left="0"/>
        <w:jc w:val="both"/>
        <w:rPr>
          <w:sz w:val="22"/>
          <w:szCs w:val="22"/>
          <w:lang w:val="en-GB"/>
        </w:rPr>
      </w:pPr>
    </w:p>
    <w:p w14:paraId="569D891D" w14:textId="06427C8A" w:rsidR="000B033F" w:rsidRDefault="000B033F" w:rsidP="00A6733C">
      <w:pPr>
        <w:pStyle w:val="ListParagraph"/>
        <w:spacing w:after="0" w:line="276" w:lineRule="auto"/>
        <w:ind w:left="0"/>
        <w:jc w:val="both"/>
        <w:rPr>
          <w:sz w:val="22"/>
          <w:szCs w:val="22"/>
          <w:lang w:val="en-GB"/>
        </w:rPr>
      </w:pPr>
      <w:r>
        <w:rPr>
          <w:sz w:val="22"/>
          <w:szCs w:val="22"/>
          <w:lang w:val="en-GB"/>
        </w:rPr>
        <w:br w:type="page"/>
      </w:r>
    </w:p>
    <w:p w14:paraId="477EBB99" w14:textId="77777777" w:rsidR="00C97973" w:rsidRPr="008049D2" w:rsidRDefault="00C97973" w:rsidP="00C97973">
      <w:pPr>
        <w:pStyle w:val="Body"/>
        <w:spacing w:after="0"/>
        <w:ind w:left="720" w:firstLine="720"/>
        <w:jc w:val="left"/>
        <w:rPr>
          <w:rFonts w:ascii="Lato" w:eastAsiaTheme="minorEastAsia" w:hAnsi="Lato"/>
          <w:b/>
          <w:bCs/>
          <w:color w:val="002060"/>
          <w:kern w:val="0"/>
          <w:sz w:val="26"/>
          <w:szCs w:val="26"/>
          <w:lang w:eastAsia="zh-CN"/>
        </w:rPr>
      </w:pPr>
      <w:r w:rsidRPr="006763C2">
        <w:rPr>
          <w:rFonts w:ascii="Lato" w:eastAsiaTheme="minorEastAsia" w:hAnsi="Lato"/>
          <w:b/>
          <w:bCs/>
          <w:color w:val="002060"/>
          <w:kern w:val="0"/>
          <w:sz w:val="26"/>
          <w:szCs w:val="26"/>
          <w:lang w:eastAsia="zh-CN"/>
        </w:rPr>
        <w:lastRenderedPageBreak/>
        <w:t>PG IMPACT INVESTMENTS II (USD) S.C.A., SICAV-RAIF</w:t>
      </w:r>
    </w:p>
    <w:p w14:paraId="63EFB1A0" w14:textId="77777777" w:rsidR="00C97973" w:rsidRPr="008049D2" w:rsidRDefault="00C97973" w:rsidP="00C97973">
      <w:pPr>
        <w:spacing w:after="0"/>
        <w:jc w:val="both"/>
        <w:rPr>
          <w:b/>
          <w:bCs/>
          <w:sz w:val="24"/>
          <w:lang w:val="en-GB"/>
        </w:rPr>
      </w:pPr>
    </w:p>
    <w:p w14:paraId="7D7E272E" w14:textId="77777777" w:rsidR="00C97973" w:rsidRPr="008049D2" w:rsidRDefault="00C97973" w:rsidP="00C97973">
      <w:pPr>
        <w:pStyle w:val="Heading1"/>
        <w:numPr>
          <w:ilvl w:val="0"/>
          <w:numId w:val="26"/>
        </w:numPr>
        <w:spacing w:after="0"/>
        <w:ind w:left="709"/>
        <w:rPr>
          <w:sz w:val="22"/>
          <w:szCs w:val="22"/>
          <w:lang w:val="en-GB"/>
        </w:rPr>
      </w:pPr>
      <w:r w:rsidRPr="008049D2">
        <w:rPr>
          <w:sz w:val="22"/>
          <w:szCs w:val="22"/>
          <w:lang w:val="en-GB"/>
        </w:rPr>
        <w:t xml:space="preserve">Summary </w:t>
      </w:r>
    </w:p>
    <w:p w14:paraId="6BB20AAA" w14:textId="77777777" w:rsidR="00C97973" w:rsidRDefault="00C97973" w:rsidP="00C97973">
      <w:pPr>
        <w:pStyle w:val="ListParagraph"/>
        <w:spacing w:after="0" w:line="276" w:lineRule="auto"/>
        <w:ind w:left="0"/>
        <w:jc w:val="both"/>
        <w:rPr>
          <w:sz w:val="22"/>
          <w:szCs w:val="22"/>
          <w:lang w:val="en-GB"/>
        </w:rPr>
      </w:pPr>
      <w:r w:rsidRPr="008049D2">
        <w:rPr>
          <w:sz w:val="22"/>
          <w:szCs w:val="22"/>
          <w:lang w:val="en-GB"/>
        </w:rPr>
        <w:t>The Regulation (EU) 2019/2088 of the European Parliament and of the Council of 27 November 2019 on sustainability-related disclosures in the financial services sector</w:t>
      </w:r>
      <w:r>
        <w:rPr>
          <w:sz w:val="22"/>
          <w:szCs w:val="22"/>
          <w:lang w:val="en-GB"/>
        </w:rPr>
        <w:t xml:space="preserve"> (the “</w:t>
      </w:r>
      <w:r w:rsidRPr="000B5D4D">
        <w:rPr>
          <w:b/>
          <w:bCs/>
          <w:sz w:val="22"/>
          <w:szCs w:val="22"/>
          <w:lang w:val="en-GB"/>
        </w:rPr>
        <w:t>SFDR</w:t>
      </w:r>
      <w:r>
        <w:rPr>
          <w:sz w:val="22"/>
          <w:szCs w:val="22"/>
          <w:lang w:val="en-GB"/>
        </w:rPr>
        <w:t xml:space="preserve">”) and the </w:t>
      </w:r>
      <w:r w:rsidRPr="00D53EFD">
        <w:rPr>
          <w:sz w:val="22"/>
          <w:szCs w:val="22"/>
          <w:lang w:val="en-GB"/>
        </w:rPr>
        <w:t>Regulation</w:t>
      </w:r>
      <w:r>
        <w:rPr>
          <w:sz w:val="22"/>
          <w:szCs w:val="22"/>
          <w:lang w:val="en-GB"/>
        </w:rPr>
        <w:t xml:space="preserve"> (EU)</w:t>
      </w:r>
      <w:r w:rsidRPr="00D53EFD">
        <w:rPr>
          <w:sz w:val="22"/>
          <w:szCs w:val="22"/>
          <w:lang w:val="en-GB"/>
        </w:rPr>
        <w:t xml:space="preserve"> 2020/852 on the establishment of a framework to facilitate sustainable investment and amending EU Regulation 2019/2088 </w:t>
      </w:r>
      <w:r>
        <w:rPr>
          <w:sz w:val="22"/>
          <w:szCs w:val="22"/>
          <w:lang w:val="en-GB"/>
        </w:rPr>
        <w:t>(the “</w:t>
      </w:r>
      <w:r w:rsidRPr="000B5D4D">
        <w:rPr>
          <w:b/>
          <w:bCs/>
          <w:sz w:val="22"/>
          <w:szCs w:val="22"/>
          <w:lang w:val="en-GB"/>
        </w:rPr>
        <w:t>Taxonomy Regulation</w:t>
      </w:r>
      <w:r>
        <w:rPr>
          <w:sz w:val="22"/>
          <w:szCs w:val="22"/>
          <w:lang w:val="en-GB"/>
        </w:rPr>
        <w:t xml:space="preserve">”) </w:t>
      </w:r>
      <w:r w:rsidRPr="008049D2">
        <w:rPr>
          <w:sz w:val="22"/>
          <w:szCs w:val="22"/>
          <w:lang w:val="en-GB"/>
        </w:rPr>
        <w:t>(</w:t>
      </w:r>
      <w:r>
        <w:rPr>
          <w:sz w:val="22"/>
          <w:szCs w:val="22"/>
          <w:lang w:val="en-GB"/>
        </w:rPr>
        <w:t xml:space="preserve">together </w:t>
      </w:r>
      <w:proofErr w:type="spellStart"/>
      <w:r w:rsidRPr="008049D2">
        <w:rPr>
          <w:sz w:val="22"/>
          <w:szCs w:val="22"/>
          <w:lang w:val="en-GB"/>
        </w:rPr>
        <w:t>the“</w:t>
      </w:r>
      <w:r w:rsidRPr="00681F53">
        <w:rPr>
          <w:b/>
          <w:bCs/>
          <w:sz w:val="22"/>
          <w:szCs w:val="22"/>
          <w:lang w:val="en-GB"/>
        </w:rPr>
        <w:t>Disclosure</w:t>
      </w:r>
      <w:proofErr w:type="spellEnd"/>
      <w:r w:rsidRPr="00681F53">
        <w:rPr>
          <w:b/>
          <w:bCs/>
          <w:sz w:val="22"/>
          <w:szCs w:val="22"/>
          <w:lang w:val="en-GB"/>
        </w:rPr>
        <w:t xml:space="preserve"> Regulation</w:t>
      </w:r>
      <w:r>
        <w:rPr>
          <w:b/>
          <w:bCs/>
          <w:sz w:val="22"/>
          <w:szCs w:val="22"/>
          <w:lang w:val="en-GB"/>
        </w:rPr>
        <w:t>s</w:t>
      </w:r>
      <w:r w:rsidRPr="008049D2">
        <w:rPr>
          <w:sz w:val="22"/>
          <w:szCs w:val="22"/>
          <w:lang w:val="en-GB"/>
        </w:rPr>
        <w:t>”) aim at providing more transparency to investors on sustainability risk integration, on the consideration of adverse sustainability impacts in the investment processes and on the promotion of environmental, social and/or governance (“</w:t>
      </w:r>
      <w:r w:rsidRPr="00681F53">
        <w:rPr>
          <w:b/>
          <w:bCs/>
          <w:sz w:val="22"/>
          <w:szCs w:val="22"/>
          <w:lang w:val="en-GB"/>
        </w:rPr>
        <w:t>ESG</w:t>
      </w:r>
      <w:r w:rsidRPr="008049D2">
        <w:rPr>
          <w:sz w:val="22"/>
          <w:szCs w:val="22"/>
          <w:lang w:val="en-GB"/>
        </w:rPr>
        <w:t xml:space="preserve">”) factors. </w:t>
      </w:r>
      <w:proofErr w:type="gramStart"/>
      <w:r w:rsidRPr="008049D2">
        <w:rPr>
          <w:sz w:val="22"/>
          <w:szCs w:val="22"/>
          <w:lang w:val="en-GB"/>
        </w:rPr>
        <w:t>In particular, it</w:t>
      </w:r>
      <w:proofErr w:type="gramEnd"/>
      <w:r w:rsidRPr="008049D2">
        <w:rPr>
          <w:sz w:val="22"/>
          <w:szCs w:val="22"/>
          <w:lang w:val="en-GB"/>
        </w:rPr>
        <w:t xml:space="preserve"> requires fund managers and advisers to disclose specific ESG-related information to investors on their websites. </w:t>
      </w:r>
    </w:p>
    <w:p w14:paraId="28501ECF" w14:textId="77777777" w:rsidR="00C97973" w:rsidRPr="008049D2" w:rsidRDefault="00C97973" w:rsidP="00C97973">
      <w:pPr>
        <w:pStyle w:val="ListParagraph"/>
        <w:spacing w:after="0" w:line="276" w:lineRule="auto"/>
        <w:ind w:left="0"/>
        <w:jc w:val="both"/>
        <w:rPr>
          <w:sz w:val="22"/>
          <w:szCs w:val="22"/>
          <w:lang w:val="en-GB"/>
        </w:rPr>
      </w:pPr>
    </w:p>
    <w:p w14:paraId="24BAB934" w14:textId="77777777" w:rsidR="00C97973" w:rsidRDefault="00C97973" w:rsidP="00C97973">
      <w:pPr>
        <w:pStyle w:val="ListParagraph"/>
        <w:spacing w:after="0" w:line="276" w:lineRule="auto"/>
        <w:ind w:left="0"/>
        <w:jc w:val="both"/>
        <w:rPr>
          <w:sz w:val="22"/>
          <w:szCs w:val="22"/>
          <w:lang w:val="en-GB"/>
        </w:rPr>
      </w:pPr>
      <w:r w:rsidRPr="008049D2">
        <w:rPr>
          <w:sz w:val="22"/>
          <w:szCs w:val="22"/>
          <w:lang w:val="en-GB"/>
        </w:rPr>
        <w:t>The Disclosure Regulation</w:t>
      </w:r>
      <w:r>
        <w:rPr>
          <w:sz w:val="22"/>
          <w:szCs w:val="22"/>
          <w:lang w:val="en-GB"/>
        </w:rPr>
        <w:t>s</w:t>
      </w:r>
      <w:r w:rsidRPr="008049D2">
        <w:rPr>
          <w:sz w:val="22"/>
          <w:szCs w:val="22"/>
          <w:lang w:val="en-GB"/>
        </w:rPr>
        <w:t xml:space="preserve"> </w:t>
      </w:r>
      <w:r>
        <w:rPr>
          <w:sz w:val="22"/>
          <w:szCs w:val="22"/>
          <w:lang w:val="en-GB"/>
        </w:rPr>
        <w:t>has been</w:t>
      </w:r>
      <w:r w:rsidRPr="008049D2">
        <w:rPr>
          <w:sz w:val="22"/>
          <w:szCs w:val="22"/>
          <w:lang w:val="en-GB"/>
        </w:rPr>
        <w:t xml:space="preserve"> complemented by the EU implementing measures (so-called regulatory and technical standards or “</w:t>
      </w:r>
      <w:r w:rsidRPr="00681F53">
        <w:rPr>
          <w:b/>
          <w:bCs/>
          <w:sz w:val="22"/>
          <w:szCs w:val="22"/>
          <w:lang w:val="en-GB"/>
        </w:rPr>
        <w:t>RTS</w:t>
      </w:r>
      <w:r w:rsidRPr="008049D2">
        <w:rPr>
          <w:sz w:val="22"/>
          <w:szCs w:val="22"/>
          <w:lang w:val="en-GB"/>
        </w:rPr>
        <w:t>”),</w:t>
      </w:r>
      <w:r>
        <w:rPr>
          <w:sz w:val="22"/>
          <w:szCs w:val="22"/>
          <w:lang w:val="en-GB"/>
        </w:rPr>
        <w:t xml:space="preserve"> as applicable from time to time.</w:t>
      </w:r>
    </w:p>
    <w:p w14:paraId="2A5FB6BD" w14:textId="77777777" w:rsidR="00C97973" w:rsidRPr="008049D2" w:rsidRDefault="00C97973" w:rsidP="00C97973">
      <w:pPr>
        <w:pStyle w:val="ListParagraph"/>
        <w:spacing w:after="0" w:line="276" w:lineRule="auto"/>
        <w:ind w:left="0"/>
        <w:jc w:val="both"/>
        <w:rPr>
          <w:sz w:val="22"/>
          <w:szCs w:val="22"/>
          <w:lang w:val="en-GB"/>
        </w:rPr>
      </w:pPr>
    </w:p>
    <w:p w14:paraId="34F24900" w14:textId="77777777" w:rsidR="00C97973" w:rsidRDefault="00C97973" w:rsidP="00C97973">
      <w:pPr>
        <w:pStyle w:val="ListParagraph"/>
        <w:spacing w:after="0" w:line="276" w:lineRule="auto"/>
        <w:ind w:left="0"/>
        <w:jc w:val="both"/>
        <w:rPr>
          <w:sz w:val="22"/>
          <w:szCs w:val="22"/>
          <w:lang w:val="en-GB"/>
        </w:rPr>
      </w:pPr>
      <w:r w:rsidRPr="00EC3EB9">
        <w:rPr>
          <w:sz w:val="22"/>
          <w:szCs w:val="22"/>
          <w:lang w:val="en-GB"/>
        </w:rPr>
        <w:t>PG IMPACT INVESTMENTS II (USD) S.C.A., SICAV-RAIF</w:t>
      </w:r>
      <w:r w:rsidRPr="008049D2">
        <w:rPr>
          <w:sz w:val="22"/>
          <w:szCs w:val="22"/>
          <w:lang w:val="en-GB"/>
        </w:rPr>
        <w:t xml:space="preserve"> (the “</w:t>
      </w:r>
      <w:r w:rsidRPr="008049D2">
        <w:rPr>
          <w:b/>
          <w:bCs/>
          <w:sz w:val="22"/>
          <w:szCs w:val="22"/>
          <w:lang w:val="en-GB"/>
        </w:rPr>
        <w:t>Fund</w:t>
      </w:r>
      <w:r w:rsidRPr="008049D2">
        <w:rPr>
          <w:sz w:val="22"/>
          <w:szCs w:val="22"/>
          <w:lang w:val="en-GB"/>
        </w:rPr>
        <w:t xml:space="preserve">”) is being formed to invest in </w:t>
      </w:r>
      <w:r w:rsidRPr="00866466">
        <w:rPr>
          <w:sz w:val="22"/>
          <w:szCs w:val="22"/>
          <w:lang w:val="en-GB"/>
        </w:rPr>
        <w:t>private equity and private debt</w:t>
      </w:r>
      <w:r>
        <w:rPr>
          <w:sz w:val="22"/>
          <w:szCs w:val="22"/>
          <w:lang w:val="en-GB"/>
        </w:rPr>
        <w:t>.</w:t>
      </w:r>
      <w:r w:rsidRPr="008049D2">
        <w:rPr>
          <w:sz w:val="22"/>
          <w:szCs w:val="22"/>
          <w:lang w:val="en-GB"/>
        </w:rPr>
        <w:t xml:space="preserve"> The Fund is managed by its alternative investment fund manager, </w:t>
      </w:r>
      <w:r w:rsidRPr="00682A5C">
        <w:rPr>
          <w:sz w:val="22"/>
          <w:szCs w:val="22"/>
          <w:lang w:val="en-GB"/>
        </w:rPr>
        <w:t xml:space="preserve">Alter Domus Management Company </w:t>
      </w:r>
      <w:proofErr w:type="gramStart"/>
      <w:r w:rsidRPr="00682A5C">
        <w:rPr>
          <w:sz w:val="22"/>
          <w:szCs w:val="22"/>
          <w:lang w:val="en-GB"/>
        </w:rPr>
        <w:t>S.A.</w:t>
      </w:r>
      <w:r w:rsidRPr="008049D2">
        <w:rPr>
          <w:sz w:val="22"/>
          <w:szCs w:val="22"/>
          <w:lang w:val="en-GB"/>
        </w:rPr>
        <w:t>.</w:t>
      </w:r>
      <w:proofErr w:type="gramEnd"/>
      <w:r w:rsidRPr="008049D2">
        <w:rPr>
          <w:sz w:val="22"/>
          <w:szCs w:val="22"/>
          <w:lang w:val="en-GB"/>
        </w:rPr>
        <w:t xml:space="preserve"> (the “</w:t>
      </w:r>
      <w:r w:rsidRPr="008049D2">
        <w:rPr>
          <w:b/>
          <w:bCs/>
          <w:sz w:val="22"/>
          <w:szCs w:val="22"/>
          <w:lang w:val="en-GB"/>
        </w:rPr>
        <w:t>Manager</w:t>
      </w:r>
      <w:r w:rsidRPr="008049D2">
        <w:rPr>
          <w:sz w:val="22"/>
          <w:szCs w:val="22"/>
          <w:lang w:val="en-GB"/>
        </w:rPr>
        <w:t xml:space="preserve">”). </w:t>
      </w:r>
      <w:r>
        <w:rPr>
          <w:sz w:val="22"/>
          <w:szCs w:val="22"/>
          <w:lang w:val="en-GB"/>
        </w:rPr>
        <w:t>Blue Earth Capital AG (previously known as</w:t>
      </w:r>
      <w:r w:rsidRPr="00BE7D83">
        <w:rPr>
          <w:sz w:val="22"/>
          <w:szCs w:val="22"/>
          <w:lang w:val="en-GB"/>
        </w:rPr>
        <w:t xml:space="preserve"> PG Impact Investments AG</w:t>
      </w:r>
      <w:r>
        <w:rPr>
          <w:sz w:val="22"/>
          <w:szCs w:val="22"/>
          <w:lang w:val="en-GB"/>
        </w:rPr>
        <w:t>)</w:t>
      </w:r>
      <w:r w:rsidRPr="00BE7D83">
        <w:rPr>
          <w:sz w:val="22"/>
          <w:szCs w:val="22"/>
          <w:lang w:val="en-GB"/>
        </w:rPr>
        <w:t xml:space="preserve"> acts in the capacity as Adviser to the Manager. The </w:t>
      </w:r>
      <w:r>
        <w:rPr>
          <w:sz w:val="22"/>
          <w:szCs w:val="22"/>
          <w:lang w:val="en-GB"/>
        </w:rPr>
        <w:t xml:space="preserve">below </w:t>
      </w:r>
      <w:r w:rsidRPr="00BE7D83">
        <w:rPr>
          <w:sz w:val="22"/>
          <w:szCs w:val="22"/>
          <w:lang w:val="en-GB"/>
        </w:rPr>
        <w:t>information from the Manager is based on the consultation, information and recommendations received from the Adviser.</w:t>
      </w:r>
      <w:r>
        <w:rPr>
          <w:sz w:val="22"/>
          <w:szCs w:val="22"/>
          <w:lang w:val="en-GB"/>
        </w:rPr>
        <w:t xml:space="preserve"> </w:t>
      </w:r>
      <w:r w:rsidRPr="008049D2">
        <w:rPr>
          <w:sz w:val="22"/>
          <w:szCs w:val="22"/>
          <w:lang w:val="en-GB"/>
        </w:rPr>
        <w:t>The Manager</w:t>
      </w:r>
      <w:r>
        <w:rPr>
          <w:sz w:val="22"/>
          <w:szCs w:val="22"/>
          <w:lang w:val="en-GB"/>
        </w:rPr>
        <w:t xml:space="preserve"> </w:t>
      </w:r>
      <w:r w:rsidRPr="001178F9">
        <w:rPr>
          <w:sz w:val="22"/>
          <w:szCs w:val="22"/>
          <w:lang w:val="en-GB"/>
        </w:rPr>
        <w:t xml:space="preserve">is committed to investing in a responsible way by actively integrating </w:t>
      </w:r>
      <w:r>
        <w:rPr>
          <w:sz w:val="22"/>
          <w:szCs w:val="22"/>
          <w:lang w:val="en-GB"/>
        </w:rPr>
        <w:t xml:space="preserve">ESG </w:t>
      </w:r>
      <w:r w:rsidRPr="001178F9">
        <w:rPr>
          <w:sz w:val="22"/>
          <w:szCs w:val="22"/>
          <w:lang w:val="en-GB"/>
        </w:rPr>
        <w:t>considerations in its investment selection and ongoing monitoring process</w:t>
      </w:r>
      <w:r>
        <w:rPr>
          <w:sz w:val="22"/>
          <w:szCs w:val="22"/>
          <w:lang w:val="en-GB"/>
        </w:rPr>
        <w:t>.</w:t>
      </w:r>
    </w:p>
    <w:p w14:paraId="4DE764C2" w14:textId="77777777" w:rsidR="00C97973" w:rsidRDefault="00C97973" w:rsidP="00C97973">
      <w:pPr>
        <w:pStyle w:val="ListParagraph"/>
        <w:spacing w:after="0" w:line="276" w:lineRule="auto"/>
        <w:ind w:left="0"/>
        <w:jc w:val="both"/>
        <w:rPr>
          <w:sz w:val="22"/>
          <w:szCs w:val="22"/>
          <w:lang w:val="en-GB"/>
        </w:rPr>
      </w:pPr>
    </w:p>
    <w:p w14:paraId="41114590" w14:textId="77777777" w:rsidR="00C97973" w:rsidRDefault="00C97973" w:rsidP="00C97973">
      <w:pPr>
        <w:pStyle w:val="ListParagraph"/>
        <w:spacing w:after="0" w:line="276" w:lineRule="auto"/>
        <w:ind w:left="0"/>
        <w:jc w:val="both"/>
        <w:rPr>
          <w:sz w:val="22"/>
          <w:szCs w:val="22"/>
          <w:lang w:val="en-GB"/>
        </w:rPr>
      </w:pPr>
      <w:r>
        <w:rPr>
          <w:sz w:val="22"/>
          <w:szCs w:val="22"/>
          <w:lang w:val="en-GB"/>
        </w:rPr>
        <w:t xml:space="preserve">The Fund </w:t>
      </w:r>
      <w:r w:rsidRPr="00A621D8">
        <w:rPr>
          <w:sz w:val="22"/>
          <w:szCs w:val="22"/>
          <w:lang w:val="en-GB"/>
        </w:rPr>
        <w:t xml:space="preserve">promotes environmental or social </w:t>
      </w:r>
      <w:proofErr w:type="gramStart"/>
      <w:r w:rsidRPr="00A621D8">
        <w:rPr>
          <w:sz w:val="22"/>
          <w:szCs w:val="22"/>
          <w:lang w:val="en-GB"/>
        </w:rPr>
        <w:t>characteristics, but</w:t>
      </w:r>
      <w:proofErr w:type="gramEnd"/>
      <w:r w:rsidRPr="00A621D8">
        <w:rPr>
          <w:sz w:val="22"/>
          <w:szCs w:val="22"/>
          <w:lang w:val="en-GB"/>
        </w:rPr>
        <w:t xml:space="preserve"> does not have as its objective a sustainable investment</w:t>
      </w:r>
      <w:r>
        <w:rPr>
          <w:sz w:val="22"/>
          <w:szCs w:val="22"/>
          <w:lang w:val="en-GB"/>
        </w:rPr>
        <w:t>.</w:t>
      </w:r>
      <w:r w:rsidRPr="00A621D8">
        <w:rPr>
          <w:sz w:val="22"/>
          <w:szCs w:val="22"/>
          <w:lang w:val="en-GB"/>
        </w:rPr>
        <w:t xml:space="preserve"> </w:t>
      </w:r>
      <w:r w:rsidRPr="001178F9">
        <w:rPr>
          <w:sz w:val="22"/>
          <w:szCs w:val="22"/>
          <w:lang w:val="en-GB"/>
        </w:rPr>
        <w:t xml:space="preserve">The Fund will not at this stage consider principal adverse sustainability </w:t>
      </w:r>
      <w:r w:rsidRPr="006F3874">
        <w:rPr>
          <w:sz w:val="22"/>
          <w:szCs w:val="22"/>
          <w:lang w:val="en-GB"/>
        </w:rPr>
        <w:t xml:space="preserve">impacts as defined in </w:t>
      </w:r>
      <w:r>
        <w:rPr>
          <w:sz w:val="22"/>
          <w:szCs w:val="22"/>
          <w:lang w:val="en-GB"/>
        </w:rPr>
        <w:t>SFDR</w:t>
      </w:r>
      <w:r w:rsidRPr="006F3874">
        <w:rPr>
          <w:sz w:val="22"/>
          <w:szCs w:val="22"/>
          <w:lang w:val="en-GB"/>
        </w:rPr>
        <w:t xml:space="preserve"> but </w:t>
      </w:r>
      <w:r w:rsidRPr="00FD70CB">
        <w:rPr>
          <w:sz w:val="22"/>
          <w:szCs w:val="22"/>
          <w:lang w:val="en-GB"/>
        </w:rPr>
        <w:t>follows a comprehensive impact</w:t>
      </w:r>
      <w:r w:rsidRPr="002B784C">
        <w:rPr>
          <w:sz w:val="22"/>
          <w:szCs w:val="22"/>
          <w:lang w:val="en-GB"/>
        </w:rPr>
        <w:t xml:space="preserve"> </w:t>
      </w:r>
      <w:r>
        <w:rPr>
          <w:sz w:val="22"/>
          <w:szCs w:val="22"/>
          <w:lang w:val="en-GB"/>
        </w:rPr>
        <w:t>and ESG</w:t>
      </w:r>
      <w:r w:rsidRPr="00FD70CB">
        <w:rPr>
          <w:sz w:val="22"/>
          <w:szCs w:val="22"/>
          <w:lang w:val="en-GB"/>
        </w:rPr>
        <w:t xml:space="preserve"> assessment</w:t>
      </w:r>
      <w:r>
        <w:rPr>
          <w:sz w:val="22"/>
          <w:szCs w:val="22"/>
          <w:lang w:val="en-GB"/>
        </w:rPr>
        <w:t xml:space="preserve"> which includes </w:t>
      </w:r>
      <w:r w:rsidRPr="00C6403C">
        <w:rPr>
          <w:sz w:val="22"/>
          <w:szCs w:val="22"/>
          <w:lang w:val="en-GB"/>
        </w:rPr>
        <w:t>the application of</w:t>
      </w:r>
      <w:r>
        <w:rPr>
          <w:sz w:val="22"/>
          <w:szCs w:val="22"/>
          <w:lang w:val="en-GB"/>
        </w:rPr>
        <w:t xml:space="preserve"> </w:t>
      </w:r>
      <w:r w:rsidRPr="00C6403C">
        <w:rPr>
          <w:sz w:val="22"/>
          <w:szCs w:val="22"/>
          <w:lang w:val="en-GB"/>
        </w:rPr>
        <w:t>proprietary ESG assessment tools tailored to each investment strategy for screening ESG risks</w:t>
      </w:r>
      <w:r w:rsidRPr="006F3874">
        <w:rPr>
          <w:sz w:val="22"/>
          <w:szCs w:val="22"/>
          <w:lang w:val="en-GB"/>
        </w:rPr>
        <w:t>.</w:t>
      </w:r>
      <w:r>
        <w:rPr>
          <w:sz w:val="22"/>
          <w:szCs w:val="22"/>
          <w:lang w:val="en-GB"/>
        </w:rPr>
        <w:t xml:space="preserve"> </w:t>
      </w:r>
    </w:p>
    <w:p w14:paraId="4EA66C0B" w14:textId="77777777" w:rsidR="00C97973" w:rsidRPr="006F3874" w:rsidRDefault="00C97973" w:rsidP="00C97973">
      <w:pPr>
        <w:pStyle w:val="ListParagraph"/>
        <w:spacing w:after="0" w:line="276" w:lineRule="auto"/>
        <w:ind w:left="0"/>
        <w:jc w:val="both"/>
        <w:rPr>
          <w:sz w:val="22"/>
          <w:szCs w:val="22"/>
          <w:lang w:val="en-GB"/>
        </w:rPr>
      </w:pPr>
    </w:p>
    <w:p w14:paraId="618BCDD1" w14:textId="77777777" w:rsidR="00C97973" w:rsidRDefault="00C97973" w:rsidP="00C97973">
      <w:pPr>
        <w:pStyle w:val="ListParagraph"/>
        <w:spacing w:after="0" w:line="276" w:lineRule="auto"/>
        <w:ind w:left="0"/>
        <w:jc w:val="both"/>
        <w:rPr>
          <w:sz w:val="22"/>
          <w:szCs w:val="22"/>
          <w:lang w:val="en-GB"/>
        </w:rPr>
      </w:pPr>
      <w:r w:rsidRPr="006F3874">
        <w:rPr>
          <w:sz w:val="22"/>
          <w:szCs w:val="22"/>
          <w:lang w:val="en-GB"/>
        </w:rPr>
        <w:t>The Fund has a private market strategy aiming at both generating positive financial return and at achieving positive social</w:t>
      </w:r>
      <w:r>
        <w:rPr>
          <w:sz w:val="22"/>
          <w:szCs w:val="22"/>
          <w:lang w:val="en-GB"/>
        </w:rPr>
        <w:t xml:space="preserve"> and environmental</w:t>
      </w:r>
      <w:r w:rsidRPr="006F3874">
        <w:rPr>
          <w:sz w:val="22"/>
          <w:szCs w:val="22"/>
          <w:lang w:val="en-GB"/>
        </w:rPr>
        <w:t xml:space="preserve"> impact, as framed by the SDGs. To achieve these objectives, the Fund integrates impact considerations throughout the investment lifecycle, including a best-in-class impact assessment and reporting methodology.</w:t>
      </w:r>
    </w:p>
    <w:p w14:paraId="4B63B360" w14:textId="77777777" w:rsidR="00C97973" w:rsidRPr="006F3874" w:rsidRDefault="00C97973" w:rsidP="00C97973">
      <w:pPr>
        <w:pStyle w:val="ListParagraph"/>
        <w:spacing w:after="0" w:line="276" w:lineRule="auto"/>
        <w:ind w:left="0"/>
        <w:jc w:val="both"/>
        <w:rPr>
          <w:sz w:val="22"/>
          <w:szCs w:val="22"/>
          <w:lang w:val="en-GB"/>
        </w:rPr>
      </w:pPr>
    </w:p>
    <w:p w14:paraId="4AE54BA8" w14:textId="77777777" w:rsidR="00C97973" w:rsidRDefault="00C97973" w:rsidP="00C97973">
      <w:pPr>
        <w:pStyle w:val="ListParagraph"/>
        <w:spacing w:after="0" w:line="276" w:lineRule="auto"/>
        <w:ind w:left="0"/>
        <w:jc w:val="both"/>
        <w:rPr>
          <w:sz w:val="22"/>
          <w:szCs w:val="22"/>
          <w:lang w:val="en-GB"/>
        </w:rPr>
      </w:pPr>
      <w:r w:rsidRPr="006F3874">
        <w:rPr>
          <w:sz w:val="22"/>
          <w:szCs w:val="22"/>
          <w:lang w:val="en-GB"/>
        </w:rPr>
        <w:t xml:space="preserve">The Manager invests in the growth of attractive social enterprises with a proven business model, high development potential and a measurable and scalable social/environmental impact. The Fund invests across all impact sectors while prioritizing financial inclusion, affordable housing, energy access, food &amp; agriculture, </w:t>
      </w:r>
      <w:proofErr w:type="gramStart"/>
      <w:r w:rsidRPr="006F3874">
        <w:rPr>
          <w:sz w:val="22"/>
          <w:szCs w:val="22"/>
          <w:lang w:val="en-GB"/>
        </w:rPr>
        <w:t>healthcare</w:t>
      </w:r>
      <w:proofErr w:type="gramEnd"/>
      <w:r w:rsidRPr="006F3874">
        <w:rPr>
          <w:sz w:val="22"/>
          <w:szCs w:val="22"/>
          <w:lang w:val="en-GB"/>
        </w:rPr>
        <w:t xml:space="preserve"> and education. Investment strategies are defined for each priority sector </w:t>
      </w:r>
      <w:proofErr w:type="gramStart"/>
      <w:r w:rsidRPr="006F3874">
        <w:rPr>
          <w:sz w:val="22"/>
          <w:szCs w:val="22"/>
          <w:lang w:val="en-GB"/>
        </w:rPr>
        <w:t>on the basis of</w:t>
      </w:r>
      <w:proofErr w:type="gramEnd"/>
      <w:r w:rsidRPr="006F3874">
        <w:rPr>
          <w:sz w:val="22"/>
          <w:szCs w:val="22"/>
          <w:lang w:val="en-GB"/>
        </w:rPr>
        <w:t xml:space="preserve"> the long-term viability of business models, growth/value-creation opportunities, as well as scale and depth of impact</w:t>
      </w:r>
      <w:r>
        <w:rPr>
          <w:sz w:val="22"/>
          <w:szCs w:val="22"/>
          <w:lang w:val="en-GB"/>
        </w:rPr>
        <w:t>.</w:t>
      </w:r>
    </w:p>
    <w:p w14:paraId="59944771" w14:textId="77777777" w:rsidR="00C97973" w:rsidRPr="001A77D8" w:rsidRDefault="00C97973" w:rsidP="00C97973">
      <w:pPr>
        <w:pStyle w:val="ListParagraph"/>
        <w:spacing w:after="0" w:line="276" w:lineRule="auto"/>
        <w:ind w:left="0"/>
        <w:jc w:val="both"/>
        <w:rPr>
          <w:sz w:val="22"/>
          <w:szCs w:val="22"/>
          <w:lang w:val="en-GB"/>
        </w:rPr>
      </w:pPr>
    </w:p>
    <w:p w14:paraId="2885AAF8" w14:textId="77777777" w:rsidR="00C97973" w:rsidRPr="00A621D8" w:rsidRDefault="00C97973" w:rsidP="00C97973">
      <w:pPr>
        <w:pStyle w:val="ListParagraph"/>
        <w:spacing w:after="0" w:line="276" w:lineRule="auto"/>
        <w:ind w:left="0"/>
        <w:jc w:val="both"/>
        <w:rPr>
          <w:sz w:val="22"/>
          <w:szCs w:val="22"/>
          <w:lang w:val="en-GB"/>
        </w:rPr>
      </w:pPr>
      <w:r>
        <w:rPr>
          <w:sz w:val="22"/>
          <w:szCs w:val="22"/>
          <w:lang w:val="en-GB"/>
        </w:rPr>
        <w:t xml:space="preserve">The Fund </w:t>
      </w:r>
      <w:r w:rsidRPr="003A6B1E">
        <w:rPr>
          <w:sz w:val="22"/>
          <w:szCs w:val="22"/>
          <w:lang w:val="en-GB"/>
        </w:rPr>
        <w:t>commits to make a minimum portion of</w:t>
      </w:r>
      <w:r w:rsidRPr="003A6B1E" w:rsidDel="003A6B1E">
        <w:rPr>
          <w:sz w:val="22"/>
          <w:szCs w:val="22"/>
          <w:lang w:val="en-GB"/>
        </w:rPr>
        <w:t xml:space="preserve"> </w:t>
      </w:r>
      <w:r>
        <w:rPr>
          <w:sz w:val="22"/>
          <w:szCs w:val="22"/>
          <w:lang w:val="en-GB"/>
        </w:rPr>
        <w:t>90% in I</w:t>
      </w:r>
      <w:r w:rsidRPr="00A621D8">
        <w:rPr>
          <w:sz w:val="22"/>
          <w:szCs w:val="22"/>
          <w:lang w:val="en-GB"/>
        </w:rPr>
        <w:t>nvestments aligned with E/S characteristics</w:t>
      </w:r>
      <w:r>
        <w:rPr>
          <w:sz w:val="22"/>
          <w:szCs w:val="22"/>
          <w:lang w:val="en-GB"/>
        </w:rPr>
        <w:t xml:space="preserve">. </w:t>
      </w:r>
      <w:r w:rsidRPr="003A6B1E">
        <w:rPr>
          <w:sz w:val="22"/>
          <w:szCs w:val="22"/>
          <w:lang w:val="en-GB"/>
        </w:rPr>
        <w:t>Other</w:t>
      </w:r>
      <w:r>
        <w:rPr>
          <w:sz w:val="22"/>
          <w:szCs w:val="22"/>
          <w:lang w:val="en-GB"/>
        </w:rPr>
        <w:t xml:space="preserve"> investments will</w:t>
      </w:r>
      <w:r w:rsidRPr="003A6B1E">
        <w:rPr>
          <w:sz w:val="22"/>
          <w:szCs w:val="22"/>
          <w:lang w:val="en-GB"/>
        </w:rPr>
        <w:t xml:space="preserve"> include (</w:t>
      </w:r>
      <w:proofErr w:type="spellStart"/>
      <w:r w:rsidRPr="003A6B1E">
        <w:rPr>
          <w:sz w:val="22"/>
          <w:szCs w:val="22"/>
          <w:lang w:val="en-GB"/>
        </w:rPr>
        <w:t>i</w:t>
      </w:r>
      <w:proofErr w:type="spellEnd"/>
      <w:r w:rsidRPr="003A6B1E">
        <w:rPr>
          <w:sz w:val="22"/>
          <w:szCs w:val="22"/>
          <w:lang w:val="en-GB"/>
        </w:rPr>
        <w:t>) derivative instruments used to reduce foreign currency and interest rate</w:t>
      </w:r>
      <w:r>
        <w:rPr>
          <w:sz w:val="22"/>
          <w:szCs w:val="22"/>
          <w:lang w:val="en-GB"/>
        </w:rPr>
        <w:t xml:space="preserve"> </w:t>
      </w:r>
      <w:r w:rsidRPr="003A6B1E">
        <w:rPr>
          <w:sz w:val="22"/>
          <w:szCs w:val="22"/>
          <w:lang w:val="en-GB"/>
        </w:rPr>
        <w:t xml:space="preserve">risks as described above and (ii) cash which is used for efficient liquidity </w:t>
      </w:r>
      <w:r w:rsidRPr="003A6B1E">
        <w:rPr>
          <w:sz w:val="22"/>
          <w:szCs w:val="22"/>
          <w:lang w:val="en-GB"/>
        </w:rPr>
        <w:lastRenderedPageBreak/>
        <w:t>and efficient</w:t>
      </w:r>
      <w:r>
        <w:rPr>
          <w:sz w:val="22"/>
          <w:szCs w:val="22"/>
          <w:lang w:val="en-GB"/>
        </w:rPr>
        <w:t xml:space="preserve"> </w:t>
      </w:r>
      <w:r w:rsidRPr="003A6B1E">
        <w:rPr>
          <w:sz w:val="22"/>
          <w:szCs w:val="22"/>
          <w:lang w:val="en-GB"/>
        </w:rPr>
        <w:t>portfolio management or cost management purposes which are not actually part of the</w:t>
      </w:r>
      <w:r>
        <w:rPr>
          <w:sz w:val="22"/>
          <w:szCs w:val="22"/>
          <w:lang w:val="en-GB"/>
        </w:rPr>
        <w:t xml:space="preserve"> </w:t>
      </w:r>
      <w:r w:rsidRPr="003A6B1E">
        <w:rPr>
          <w:sz w:val="22"/>
          <w:szCs w:val="22"/>
          <w:lang w:val="en-GB"/>
        </w:rPr>
        <w:t>investment portfolio.</w:t>
      </w:r>
    </w:p>
    <w:p w14:paraId="2AFCBBAB" w14:textId="77777777" w:rsidR="00C97973" w:rsidRDefault="00C97973" w:rsidP="00C97973">
      <w:pPr>
        <w:pStyle w:val="ListParagraph"/>
        <w:spacing w:after="0" w:line="276" w:lineRule="auto"/>
        <w:ind w:left="0"/>
        <w:jc w:val="both"/>
        <w:rPr>
          <w:sz w:val="22"/>
          <w:szCs w:val="22"/>
          <w:lang w:val="en-GB"/>
        </w:rPr>
      </w:pPr>
      <w:r w:rsidRPr="00A621D8">
        <w:rPr>
          <w:sz w:val="22"/>
          <w:szCs w:val="22"/>
          <w:lang w:val="en-GB"/>
        </w:rPr>
        <w:t>The Manager will do a qualitative assessment of sustainability indicators on a regular basis and will actively monitor sustainability indicators and ESG incidents and will review ESG progress on an annual basis.</w:t>
      </w:r>
    </w:p>
    <w:p w14:paraId="3CB86537" w14:textId="77777777" w:rsidR="00C97973" w:rsidRDefault="00C97973" w:rsidP="00C97973">
      <w:pPr>
        <w:pStyle w:val="ListParagraph"/>
        <w:spacing w:after="0" w:line="276" w:lineRule="auto"/>
        <w:ind w:left="0"/>
        <w:jc w:val="both"/>
        <w:rPr>
          <w:sz w:val="22"/>
          <w:szCs w:val="22"/>
          <w:lang w:val="en-GB"/>
        </w:rPr>
      </w:pPr>
    </w:p>
    <w:p w14:paraId="090FBD82" w14:textId="77777777" w:rsidR="00C97973" w:rsidRPr="00140767" w:rsidRDefault="00C97973" w:rsidP="00C97973">
      <w:pPr>
        <w:pStyle w:val="ListParagraph"/>
        <w:spacing w:after="0" w:line="276" w:lineRule="auto"/>
        <w:ind w:left="0"/>
        <w:jc w:val="both"/>
        <w:rPr>
          <w:sz w:val="22"/>
          <w:szCs w:val="22"/>
        </w:rPr>
      </w:pPr>
      <w:r w:rsidRPr="00C06AC7">
        <w:rPr>
          <w:sz w:val="22"/>
          <w:szCs w:val="22"/>
          <w:lang w:val="en-GB"/>
        </w:rPr>
        <w:t>The Manager’s impact and ESG assessment and management methodology is based on the following tools: (1) Impact Management Project; (2) Logic Model ("</w:t>
      </w:r>
      <w:r w:rsidRPr="001A224E">
        <w:rPr>
          <w:b/>
          <w:bCs/>
          <w:sz w:val="22"/>
          <w:szCs w:val="22"/>
          <w:lang w:val="en-GB"/>
        </w:rPr>
        <w:t>Theory of Change</w:t>
      </w:r>
      <w:r w:rsidRPr="00C06AC7">
        <w:rPr>
          <w:sz w:val="22"/>
          <w:szCs w:val="22"/>
          <w:lang w:val="en-GB"/>
        </w:rPr>
        <w:t>"); (3) United Nations Sustainable Development Goals; (4) IRIS metrics; and ESG Due Diligence Tools.</w:t>
      </w:r>
    </w:p>
    <w:p w14:paraId="3BE5E57D" w14:textId="77777777" w:rsidR="00C97973" w:rsidRDefault="00C97973" w:rsidP="00C97973">
      <w:pPr>
        <w:pStyle w:val="ListParagraph"/>
        <w:spacing w:after="0" w:line="276" w:lineRule="auto"/>
        <w:ind w:left="0"/>
        <w:jc w:val="both"/>
        <w:rPr>
          <w:sz w:val="22"/>
          <w:szCs w:val="22"/>
          <w:lang w:val="en-GB"/>
        </w:rPr>
      </w:pPr>
    </w:p>
    <w:p w14:paraId="7DA1CE43" w14:textId="77777777" w:rsidR="00C97973" w:rsidRDefault="00C97973" w:rsidP="00C97973">
      <w:pPr>
        <w:pStyle w:val="ListParagraph"/>
        <w:spacing w:after="0" w:line="276" w:lineRule="auto"/>
        <w:ind w:left="0"/>
        <w:jc w:val="both"/>
        <w:rPr>
          <w:sz w:val="22"/>
          <w:szCs w:val="22"/>
          <w:lang w:val="en-GB"/>
        </w:rPr>
      </w:pPr>
      <w:r w:rsidRPr="008013A5">
        <w:rPr>
          <w:sz w:val="22"/>
          <w:szCs w:val="22"/>
          <w:lang w:val="en-GB"/>
        </w:rPr>
        <w:t>Target companies and assets are selected only after thorough impact assessment, during both</w:t>
      </w:r>
      <w:r>
        <w:rPr>
          <w:sz w:val="22"/>
          <w:szCs w:val="22"/>
          <w:lang w:val="en-GB"/>
        </w:rPr>
        <w:t xml:space="preserve"> </w:t>
      </w:r>
      <w:r w:rsidRPr="008013A5">
        <w:rPr>
          <w:sz w:val="22"/>
          <w:szCs w:val="22"/>
          <w:lang w:val="en-GB"/>
        </w:rPr>
        <w:t>deal sourcing and due diligence for their potential to generate positive SDG-relevant</w:t>
      </w:r>
      <w:r>
        <w:rPr>
          <w:sz w:val="22"/>
          <w:szCs w:val="22"/>
          <w:lang w:val="en-GB"/>
        </w:rPr>
        <w:t xml:space="preserve"> </w:t>
      </w:r>
      <w:r w:rsidRPr="008013A5">
        <w:rPr>
          <w:sz w:val="22"/>
          <w:szCs w:val="22"/>
          <w:lang w:val="en-GB"/>
        </w:rPr>
        <w:t>environmental and social impacts</w:t>
      </w:r>
      <w:r>
        <w:rPr>
          <w:sz w:val="22"/>
          <w:szCs w:val="22"/>
          <w:lang w:val="en-GB"/>
        </w:rPr>
        <w:t>.</w:t>
      </w:r>
    </w:p>
    <w:p w14:paraId="4372E916" w14:textId="77777777" w:rsidR="00C97973" w:rsidRDefault="00C97973" w:rsidP="00C97973">
      <w:pPr>
        <w:pStyle w:val="ListParagraph"/>
        <w:spacing w:after="0" w:line="276" w:lineRule="auto"/>
        <w:ind w:left="0"/>
        <w:jc w:val="both"/>
        <w:rPr>
          <w:sz w:val="22"/>
          <w:szCs w:val="22"/>
          <w:lang w:val="en-GB"/>
        </w:rPr>
      </w:pPr>
    </w:p>
    <w:p w14:paraId="2A64B780" w14:textId="77777777" w:rsidR="00C97973" w:rsidRPr="008049D2" w:rsidRDefault="00C97973" w:rsidP="00C97973">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74E0806A" w14:textId="77777777" w:rsidR="00C97973" w:rsidRDefault="00C97973" w:rsidP="00C97973">
      <w:pPr>
        <w:spacing w:after="0"/>
        <w:rPr>
          <w:sz w:val="22"/>
          <w:szCs w:val="22"/>
          <w:lang w:val="en-GB"/>
        </w:rPr>
      </w:pPr>
    </w:p>
    <w:p w14:paraId="63AB5752" w14:textId="77777777" w:rsidR="00C97973" w:rsidRDefault="00C97973" w:rsidP="00C97973">
      <w:pPr>
        <w:spacing w:after="0"/>
        <w:rPr>
          <w:rFonts w:ascii="Arial" w:hAnsi="Arial" w:cs="Arial"/>
          <w:sz w:val="20"/>
          <w:szCs w:val="20"/>
          <w:lang w:val="en-GB"/>
        </w:rPr>
      </w:pPr>
      <w:r w:rsidRPr="002E72A4">
        <w:rPr>
          <w:rFonts w:ascii="Arial" w:hAnsi="Arial" w:cs="Arial"/>
          <w:sz w:val="20"/>
          <w:szCs w:val="20"/>
          <w:lang w:val="en-GB"/>
        </w:rPr>
        <w:t>Please find a translation of this Summary Section in German (1), French (2) and Swedish (3) annexed to this document as Annex 1-3</w:t>
      </w:r>
    </w:p>
    <w:p w14:paraId="3F41C586" w14:textId="77777777" w:rsidR="00C97973" w:rsidRDefault="00C97973" w:rsidP="00C97973">
      <w:pPr>
        <w:spacing w:after="0"/>
        <w:rPr>
          <w:rFonts w:ascii="Arial" w:hAnsi="Arial" w:cs="Arial"/>
          <w:sz w:val="20"/>
          <w:szCs w:val="20"/>
          <w:lang w:val="en-GB"/>
        </w:rPr>
      </w:pPr>
    </w:p>
    <w:p w14:paraId="59436C43" w14:textId="77777777" w:rsidR="00C97973" w:rsidRDefault="00C97973" w:rsidP="00C97973">
      <w:pPr>
        <w:spacing w:after="0"/>
        <w:rPr>
          <w:rFonts w:ascii="Arial" w:hAnsi="Arial" w:cs="Arial"/>
          <w:sz w:val="20"/>
          <w:szCs w:val="20"/>
          <w:lang w:val="en-GB"/>
        </w:rPr>
      </w:pPr>
      <w:r>
        <w:rPr>
          <w:rFonts w:ascii="Arial" w:hAnsi="Arial" w:cs="Arial"/>
          <w:sz w:val="20"/>
          <w:szCs w:val="20"/>
          <w:lang w:val="en-GB"/>
        </w:rPr>
        <w:br w:type="page"/>
      </w:r>
    </w:p>
    <w:p w14:paraId="0A9D243B" w14:textId="77777777" w:rsidR="00C97973" w:rsidRDefault="00C97973" w:rsidP="00C97973">
      <w:pPr>
        <w:spacing w:after="0"/>
        <w:rPr>
          <w:rFonts w:ascii="Arial" w:hAnsi="Arial" w:cs="Arial"/>
          <w:sz w:val="20"/>
          <w:szCs w:val="20"/>
          <w:lang w:val="en-GB"/>
        </w:rPr>
      </w:pPr>
      <w:r>
        <w:rPr>
          <w:rFonts w:ascii="Arial" w:hAnsi="Arial" w:cs="Arial"/>
          <w:sz w:val="20"/>
          <w:szCs w:val="20"/>
          <w:lang w:val="en-GB"/>
        </w:rPr>
        <w:lastRenderedPageBreak/>
        <w:t>Annex 1: German translation, the English version prevails</w:t>
      </w:r>
    </w:p>
    <w:p w14:paraId="49838F66" w14:textId="77777777" w:rsidR="00C97973" w:rsidRDefault="00C97973" w:rsidP="00C97973">
      <w:pPr>
        <w:spacing w:after="0"/>
        <w:rPr>
          <w:rFonts w:ascii="Arial" w:hAnsi="Arial" w:cs="Arial"/>
          <w:sz w:val="20"/>
          <w:szCs w:val="20"/>
          <w:lang w:val="en-GB"/>
        </w:rPr>
      </w:pPr>
    </w:p>
    <w:p w14:paraId="57211D16" w14:textId="77777777" w:rsidR="00C97973" w:rsidRDefault="00C97973" w:rsidP="00C97973">
      <w:pPr>
        <w:pStyle w:val="Body"/>
        <w:spacing w:after="0"/>
        <w:ind w:left="720" w:firstLine="720"/>
        <w:jc w:val="left"/>
        <w:rPr>
          <w:rFonts w:ascii="Lato" w:eastAsiaTheme="minorEastAsia" w:hAnsi="Lato"/>
          <w:b/>
          <w:bCs/>
          <w:color w:val="002060"/>
          <w:kern w:val="0"/>
          <w:sz w:val="26"/>
          <w:szCs w:val="26"/>
          <w:lang w:eastAsia="zh-CN"/>
        </w:rPr>
      </w:pPr>
      <w:r w:rsidRPr="002E72A4">
        <w:rPr>
          <w:b/>
          <w:color w:val="002060"/>
          <w:kern w:val="0"/>
          <w:sz w:val="26"/>
          <w:lang w:val="en-US" w:bidi="de-DE"/>
        </w:rPr>
        <w:t>PG IMPACT INVESTMENTS II (USD) S.C.A., SICAV-RAIF</w:t>
      </w:r>
    </w:p>
    <w:p w14:paraId="2C65B773" w14:textId="77777777" w:rsidR="00C97973" w:rsidRDefault="00C97973" w:rsidP="00C97973">
      <w:pPr>
        <w:spacing w:after="0"/>
        <w:jc w:val="both"/>
        <w:rPr>
          <w:b/>
          <w:bCs/>
          <w:sz w:val="24"/>
          <w:lang w:val="en-GB"/>
        </w:rPr>
      </w:pPr>
    </w:p>
    <w:p w14:paraId="553B842D" w14:textId="77777777" w:rsidR="00C97973" w:rsidRDefault="00C97973" w:rsidP="00DC175E">
      <w:pPr>
        <w:pStyle w:val="Heading1"/>
        <w:numPr>
          <w:ilvl w:val="0"/>
          <w:numId w:val="45"/>
        </w:numPr>
        <w:spacing w:after="0"/>
        <w:ind w:left="709"/>
        <w:rPr>
          <w:sz w:val="22"/>
          <w:szCs w:val="22"/>
          <w:lang w:val="en-GB"/>
        </w:rPr>
      </w:pPr>
      <w:r>
        <w:rPr>
          <w:sz w:val="22"/>
          <w:lang w:val="de-DE" w:bidi="de-DE"/>
        </w:rPr>
        <w:t xml:space="preserve">Zusammenfassung </w:t>
      </w:r>
    </w:p>
    <w:p w14:paraId="674AA489"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Die Verordnung (EU) 2019/2088 des Europäischen Parlaments und des Rates vom 27. November 2019 über nachhaltigkeitsbezogene Offenlegungen im Finanzdienstleistungssektor (die „</w:t>
      </w:r>
      <w:r>
        <w:rPr>
          <w:b/>
          <w:sz w:val="22"/>
          <w:lang w:val="de-DE" w:bidi="de-DE"/>
        </w:rPr>
        <w:t>SFDR</w:t>
      </w:r>
      <w:r>
        <w:rPr>
          <w:sz w:val="22"/>
          <w:lang w:val="de-DE" w:bidi="de-DE"/>
        </w:rPr>
        <w:t>“) und die Verordnung (EU) 2020/852 über die Einrichtung eines Rahmenprogramms zur Erleichterung nachhaltiger Investitionen und zur Änderung der EU-Verordnung 2019/2088 (die „</w:t>
      </w:r>
      <w:proofErr w:type="spellStart"/>
      <w:r>
        <w:rPr>
          <w:b/>
          <w:sz w:val="22"/>
          <w:lang w:val="de-DE" w:bidi="de-DE"/>
        </w:rPr>
        <w:t>Taxonomieverordnung</w:t>
      </w:r>
      <w:proofErr w:type="spellEnd"/>
      <w:r>
        <w:rPr>
          <w:sz w:val="22"/>
          <w:lang w:val="de-DE" w:bidi="de-DE"/>
        </w:rPr>
        <w:t>“) (zusammen die „</w:t>
      </w:r>
      <w:r>
        <w:rPr>
          <w:b/>
          <w:sz w:val="22"/>
          <w:lang w:val="de-DE" w:bidi="de-DE"/>
        </w:rPr>
        <w:t>Offenlegungsverordnungen</w:t>
      </w:r>
      <w:r>
        <w:rPr>
          <w:sz w:val="22"/>
          <w:lang w:val="de-DE" w:bidi="de-DE"/>
        </w:rPr>
        <w:t xml:space="preserve">“) zielen darauf ab, Anlegern mehr Transparenz über die Integration von Nachhaltigkeitsrisiken, die Berücksichtigung negativer Nachhaltigkeitsauswirkungen in den Anlageprozessen, die Förderung von Umwelt-, Sozial- und/oder </w:t>
      </w:r>
      <w:proofErr w:type="spellStart"/>
      <w:r>
        <w:rPr>
          <w:sz w:val="22"/>
          <w:lang w:val="de-DE" w:bidi="de-DE"/>
        </w:rPr>
        <w:t>Governance</w:t>
      </w:r>
      <w:proofErr w:type="spellEnd"/>
      <w:r>
        <w:rPr>
          <w:sz w:val="22"/>
          <w:lang w:val="de-DE" w:bidi="de-DE"/>
        </w:rPr>
        <w:t>-Faktoren („</w:t>
      </w:r>
      <w:r>
        <w:rPr>
          <w:b/>
          <w:sz w:val="22"/>
          <w:lang w:val="de-DE" w:bidi="de-DE"/>
        </w:rPr>
        <w:t>ESG</w:t>
      </w:r>
      <w:r>
        <w:rPr>
          <w:sz w:val="22"/>
          <w:lang w:val="de-DE" w:bidi="de-DE"/>
        </w:rPr>
        <w:t xml:space="preserve">“) zu bieten. Insbesondere sind Fondsmanager und Berater verpflichtet, den Anlegern auf ihren Websites spezifische ESG-bezogene Informationen offenzulegen. </w:t>
      </w:r>
    </w:p>
    <w:p w14:paraId="35971514" w14:textId="77777777" w:rsidR="00C97973" w:rsidRPr="002E72A4" w:rsidRDefault="00C97973" w:rsidP="00C97973">
      <w:pPr>
        <w:pStyle w:val="ListParagraph"/>
        <w:spacing w:after="0" w:line="276" w:lineRule="auto"/>
        <w:ind w:left="0"/>
        <w:jc w:val="both"/>
        <w:rPr>
          <w:sz w:val="22"/>
          <w:szCs w:val="22"/>
          <w:lang w:val="de-CH"/>
        </w:rPr>
      </w:pPr>
    </w:p>
    <w:p w14:paraId="00107D08"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Die Offenlegungsverordnungen wurden durch die EU-Durchführungsmaßnahmen (sogenannte regulatorische und technische Standards oder „</w:t>
      </w:r>
      <w:r>
        <w:rPr>
          <w:b/>
          <w:sz w:val="22"/>
          <w:lang w:val="de-DE" w:bidi="de-DE"/>
        </w:rPr>
        <w:t>RTS</w:t>
      </w:r>
      <w:r>
        <w:rPr>
          <w:sz w:val="22"/>
          <w:lang w:val="de-DE" w:bidi="de-DE"/>
        </w:rPr>
        <w:t>“) ergänzt.</w:t>
      </w:r>
    </w:p>
    <w:p w14:paraId="13994A71" w14:textId="77777777" w:rsidR="00C97973" w:rsidRPr="002E72A4" w:rsidRDefault="00C97973" w:rsidP="00C97973">
      <w:pPr>
        <w:pStyle w:val="ListParagraph"/>
        <w:spacing w:after="0" w:line="276" w:lineRule="auto"/>
        <w:ind w:left="0"/>
        <w:jc w:val="both"/>
        <w:rPr>
          <w:sz w:val="22"/>
          <w:szCs w:val="22"/>
          <w:lang w:val="de-CH"/>
        </w:rPr>
      </w:pPr>
    </w:p>
    <w:p w14:paraId="7AC97CCF"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PG IMPACT INVESTMENTS II (USD) S.C.A., SICAV-RAIF (der „</w:t>
      </w:r>
      <w:r>
        <w:rPr>
          <w:b/>
          <w:sz w:val="22"/>
          <w:lang w:val="de-DE" w:bidi="de-DE"/>
        </w:rPr>
        <w:t>Fonds</w:t>
      </w:r>
      <w:r>
        <w:rPr>
          <w:sz w:val="22"/>
          <w:lang w:val="de-DE" w:bidi="de-DE"/>
        </w:rPr>
        <w:t xml:space="preserve">“) wird gegründet, um in Private Equity und Private </w:t>
      </w:r>
      <w:proofErr w:type="spellStart"/>
      <w:r>
        <w:rPr>
          <w:sz w:val="22"/>
          <w:lang w:val="de-DE" w:bidi="de-DE"/>
        </w:rPr>
        <w:t>Debt</w:t>
      </w:r>
      <w:proofErr w:type="spellEnd"/>
      <w:r>
        <w:rPr>
          <w:sz w:val="22"/>
          <w:lang w:val="de-DE" w:bidi="de-DE"/>
        </w:rPr>
        <w:t xml:space="preserve"> zu investieren. Der Fonds wird von seinem alternativer Investmentfonds-Manager, der Alter Domus Management Company S.A. (der „</w:t>
      </w:r>
      <w:r>
        <w:rPr>
          <w:b/>
          <w:sz w:val="22"/>
          <w:lang w:val="de-DE" w:bidi="de-DE"/>
        </w:rPr>
        <w:t>Manager</w:t>
      </w:r>
      <w:r>
        <w:rPr>
          <w:sz w:val="22"/>
          <w:lang w:val="de-DE" w:bidi="de-DE"/>
        </w:rPr>
        <w:t>“) verwaltet. Die Blue Earth Capital AG (früher bekannt als PG Impact Investments AG) handelt in der Eigenschaft als Berater des Managers. Die nachstehenden Informationen des Managers basieren auf Beratungen, Informationen und Empfehlungen des Beraters. Der Manager verpflichtet sich, auf verantwortungsvolle Weise zu investieren, indem er ESG-Erwägungen aktiv in seine Anlageauswahl und seinen laufenden Überwachungsprozess integriert.</w:t>
      </w:r>
    </w:p>
    <w:p w14:paraId="1EC5FBB2" w14:textId="77777777" w:rsidR="00C97973" w:rsidRPr="002E72A4" w:rsidRDefault="00C97973" w:rsidP="00C97973">
      <w:pPr>
        <w:pStyle w:val="ListParagraph"/>
        <w:spacing w:after="0" w:line="276" w:lineRule="auto"/>
        <w:ind w:left="0"/>
        <w:jc w:val="both"/>
        <w:rPr>
          <w:sz w:val="22"/>
          <w:szCs w:val="22"/>
          <w:lang w:val="de-CH"/>
        </w:rPr>
      </w:pPr>
    </w:p>
    <w:p w14:paraId="2C558BB2"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 xml:space="preserve">Der Fonds fördert ökologische oder soziale Merkmale, hat aber keine nachhaltige Anlage zum Ziel. Der Fonds berücksichtigt zu diesem Zeitpunkt keine wesentlichen nachteiligen Auswirkungen auf die Nachhaltigkeit, wie in SFDR definiert, sondern folgt einer umfassenden Auswirkungs- und ESG-Bewertung, die die Anwendung proprietärer ESG-Bewertungsinstrumente umfasst, die auf jede Anlagestrategie zum Screening von ESG-Risiken zugeschnitten sind. </w:t>
      </w:r>
    </w:p>
    <w:p w14:paraId="68DCEFB2" w14:textId="77777777" w:rsidR="00C97973" w:rsidRPr="002E72A4" w:rsidRDefault="00C97973" w:rsidP="00C97973">
      <w:pPr>
        <w:pStyle w:val="ListParagraph"/>
        <w:spacing w:after="0" w:line="276" w:lineRule="auto"/>
        <w:ind w:left="0"/>
        <w:jc w:val="both"/>
        <w:rPr>
          <w:sz w:val="22"/>
          <w:szCs w:val="22"/>
          <w:lang w:val="de-CH"/>
        </w:rPr>
      </w:pPr>
    </w:p>
    <w:p w14:paraId="7EE47D2A"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Der Fonds verfolgt eine Privatmarktstrategie, die darauf abzielt, sowohl eine positive finanzielle Rendite als auch positive soziale und ökologische Auswirkungen zu erzielen, wie in den SDGs festgelegt. Um diese Ziele zu erreichen, integriert der Fonds Auswirkungsüberlegungen während des gesamten Anlagelebenszyklus, einschließlich einer erstklassigen Auswirkungsbewertungs- und Berichterstattungsmethodik.</w:t>
      </w:r>
    </w:p>
    <w:p w14:paraId="1EA2BDFA" w14:textId="77777777" w:rsidR="00C97973" w:rsidRPr="002E72A4" w:rsidRDefault="00C97973" w:rsidP="00C97973">
      <w:pPr>
        <w:pStyle w:val="ListParagraph"/>
        <w:spacing w:after="0" w:line="276" w:lineRule="auto"/>
        <w:ind w:left="0"/>
        <w:jc w:val="both"/>
        <w:rPr>
          <w:sz w:val="22"/>
          <w:szCs w:val="22"/>
          <w:lang w:val="de-CH"/>
        </w:rPr>
      </w:pPr>
    </w:p>
    <w:p w14:paraId="645EF443"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 xml:space="preserve">Der Manager investiert in das Wachstum attraktiver Sozialunternehmen mit einem bewährten Geschäftsmodell, hohem Entwicklungspotenzial und einer messbaren und skalierbaren sozialen/ökologischen Auswirkung. Der Fonds investiert in alle Auswirkungssektoren und priorisiert dabei finanzielle Inklusion, bezahlbaren Wohnraum, Zugang zu Energie, Lebensmittel und Landwirtschaft, Gesundheitswesen und Bildung. Auf Basis der langfristigen Tragfähigkeit von </w:t>
      </w:r>
      <w:r>
        <w:rPr>
          <w:sz w:val="22"/>
          <w:lang w:val="de-DE" w:bidi="de-DE"/>
        </w:rPr>
        <w:lastRenderedPageBreak/>
        <w:t>Geschäftsmodellen, Wachstums-/Wertschöpfungsmöglichkeiten sowie Umfang und Auswirkungstiefe werden für jeden prioritären Sektor Anlagestrategien definiert.</w:t>
      </w:r>
    </w:p>
    <w:p w14:paraId="29CDA361" w14:textId="77777777" w:rsidR="00C97973" w:rsidRPr="002E72A4" w:rsidRDefault="00C97973" w:rsidP="00C97973">
      <w:pPr>
        <w:pStyle w:val="ListParagraph"/>
        <w:spacing w:after="0" w:line="276" w:lineRule="auto"/>
        <w:ind w:left="0"/>
        <w:jc w:val="both"/>
        <w:rPr>
          <w:sz w:val="22"/>
          <w:szCs w:val="22"/>
          <w:lang w:val="de-CH"/>
        </w:rPr>
      </w:pPr>
    </w:p>
    <w:p w14:paraId="51018F70"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Der Fonds verpflichtet sich, einen Mindestanteil von 90 % in Anlagen zu tätigen, die auf E/S-Merkmalen ausgerichtet sind. Andere Anlagen umfassen (i) derivative Instrumente, die zur Reduzierung von Fremdwährungs- und Zinsrisiken wie oben beschrieben verwendet werden, und (ii) Barmittel, die für eine effiziente Liquidität und ein effizientes Portfoliomanagement oder für Kostenmanagementzwecke verwendet werden und die eigentlich nicht Teil des Anlageportfolios sind.</w:t>
      </w:r>
    </w:p>
    <w:p w14:paraId="43E8954D"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Der Manager führt regelmäßig eine qualitative Bewertung der Nachhaltigkeitsindikatoren durch, überwacht aktiv Nachhaltigkeitsindikatoren und ESG-Vorfälle und überprüft den ESG-Fortschritt auf jährlicher Basis.</w:t>
      </w:r>
    </w:p>
    <w:p w14:paraId="4CB48E1A" w14:textId="77777777" w:rsidR="00C97973" w:rsidRPr="002E72A4" w:rsidRDefault="00C97973" w:rsidP="00C97973">
      <w:pPr>
        <w:pStyle w:val="ListParagraph"/>
        <w:spacing w:after="0" w:line="276" w:lineRule="auto"/>
        <w:ind w:left="0"/>
        <w:jc w:val="both"/>
        <w:rPr>
          <w:sz w:val="22"/>
          <w:szCs w:val="22"/>
          <w:lang w:val="de-CH"/>
        </w:rPr>
      </w:pPr>
    </w:p>
    <w:p w14:paraId="45BC6133"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Die Auswirkungs- und ESG-Bewertungs- und Managementmethodik des Managers basiert auf den folgenden Tools: (1) Auswirkungsmanagement-Projekt; (2) Logikmodell („</w:t>
      </w:r>
      <w:r>
        <w:rPr>
          <w:b/>
          <w:sz w:val="22"/>
          <w:lang w:val="de-DE" w:bidi="de-DE"/>
        </w:rPr>
        <w:t xml:space="preserve">Theory </w:t>
      </w:r>
      <w:proofErr w:type="spellStart"/>
      <w:r>
        <w:rPr>
          <w:b/>
          <w:sz w:val="22"/>
          <w:lang w:val="de-DE" w:bidi="de-DE"/>
        </w:rPr>
        <w:t>of</w:t>
      </w:r>
      <w:proofErr w:type="spellEnd"/>
      <w:r>
        <w:rPr>
          <w:b/>
          <w:sz w:val="22"/>
          <w:lang w:val="de-DE" w:bidi="de-DE"/>
        </w:rPr>
        <w:t xml:space="preserve"> Change</w:t>
      </w:r>
      <w:r>
        <w:rPr>
          <w:sz w:val="22"/>
          <w:lang w:val="de-DE" w:bidi="de-DE"/>
        </w:rPr>
        <w:t>"); (3) Ziele der Vereinten Nationen für nachhaltige Entwicklung; (4) IRIS-Metriken; und ESG-Due-Diligence-Tools.</w:t>
      </w:r>
    </w:p>
    <w:p w14:paraId="66E9AEA0" w14:textId="77777777" w:rsidR="00C97973" w:rsidRPr="002E72A4" w:rsidRDefault="00C97973" w:rsidP="00C97973">
      <w:pPr>
        <w:pStyle w:val="ListParagraph"/>
        <w:spacing w:after="0" w:line="276" w:lineRule="auto"/>
        <w:ind w:left="0"/>
        <w:jc w:val="both"/>
        <w:rPr>
          <w:sz w:val="22"/>
          <w:szCs w:val="22"/>
          <w:lang w:val="de-CH"/>
        </w:rPr>
      </w:pPr>
    </w:p>
    <w:p w14:paraId="2DDD2CCF"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Zielunternehmen und Vermögenswerte werden nur nach gründlicher Folgenabschätzung sowohl während der Deal-Sourcing- als auch der Due-Diligence-Prüfung auf ihr Potenzial zur Erzielung positiver SDG-relevanter ökologischer und sozialer Auswirkungen ausgewählt.</w:t>
      </w:r>
    </w:p>
    <w:p w14:paraId="190CBE45" w14:textId="77777777" w:rsidR="00C97973" w:rsidRPr="002E72A4" w:rsidRDefault="00C97973" w:rsidP="00C97973">
      <w:pPr>
        <w:pStyle w:val="ListParagraph"/>
        <w:spacing w:after="0" w:line="276" w:lineRule="auto"/>
        <w:ind w:left="0"/>
        <w:jc w:val="both"/>
        <w:rPr>
          <w:sz w:val="22"/>
          <w:szCs w:val="22"/>
          <w:lang w:val="de-CH"/>
        </w:rPr>
      </w:pPr>
    </w:p>
    <w:p w14:paraId="18EC11F8" w14:textId="77777777" w:rsidR="00C97973" w:rsidRPr="002E72A4" w:rsidRDefault="00C97973" w:rsidP="00C97973">
      <w:pPr>
        <w:pStyle w:val="ListParagraph"/>
        <w:spacing w:after="0" w:line="276" w:lineRule="auto"/>
        <w:ind w:left="0"/>
        <w:jc w:val="both"/>
        <w:rPr>
          <w:sz w:val="22"/>
          <w:szCs w:val="22"/>
          <w:lang w:val="de-CH"/>
        </w:rPr>
      </w:pPr>
      <w:r>
        <w:rPr>
          <w:sz w:val="22"/>
          <w:lang w:val="de-DE" w:bidi="de-DE"/>
        </w:rPr>
        <w:t>Der Fonds verfolgt eine aktive Anlagenmanagement-Strategie und investiert nicht unter Bezugnahme auf einen Index und beabsichtigt dies auch nicht.</w:t>
      </w:r>
    </w:p>
    <w:p w14:paraId="337A13B6" w14:textId="77777777" w:rsidR="00C97973" w:rsidRPr="002E72A4" w:rsidRDefault="00C97973" w:rsidP="00C97973">
      <w:pPr>
        <w:spacing w:after="0"/>
        <w:rPr>
          <w:sz w:val="22"/>
          <w:szCs w:val="22"/>
          <w:lang w:val="de-CH"/>
        </w:rPr>
      </w:pPr>
    </w:p>
    <w:p w14:paraId="6D5304EE" w14:textId="77777777" w:rsidR="00C97973" w:rsidRPr="002E72A4" w:rsidRDefault="00C97973" w:rsidP="00C97973">
      <w:pPr>
        <w:spacing w:after="0"/>
        <w:rPr>
          <w:rFonts w:ascii="Arial" w:hAnsi="Arial" w:cs="Arial"/>
          <w:sz w:val="20"/>
          <w:szCs w:val="20"/>
          <w:lang w:val="de-CH"/>
        </w:rPr>
      </w:pPr>
    </w:p>
    <w:p w14:paraId="24F11A2B" w14:textId="77777777" w:rsidR="00C97973" w:rsidRPr="002E72A4" w:rsidRDefault="00C97973" w:rsidP="00C97973">
      <w:pPr>
        <w:spacing w:after="0"/>
        <w:rPr>
          <w:rFonts w:ascii="Arial" w:hAnsi="Arial" w:cs="Arial"/>
          <w:sz w:val="20"/>
          <w:szCs w:val="20"/>
          <w:lang w:val="de-CH"/>
        </w:rPr>
      </w:pPr>
      <w:r w:rsidRPr="002E72A4">
        <w:rPr>
          <w:rFonts w:ascii="Arial" w:hAnsi="Arial" w:cs="Arial"/>
          <w:sz w:val="20"/>
          <w:szCs w:val="20"/>
          <w:lang w:val="de-CH"/>
        </w:rPr>
        <w:br w:type="page"/>
      </w:r>
    </w:p>
    <w:p w14:paraId="5085B943" w14:textId="77777777" w:rsidR="00C97973" w:rsidRDefault="00C97973" w:rsidP="00C97973">
      <w:pPr>
        <w:spacing w:after="0"/>
        <w:rPr>
          <w:rFonts w:ascii="Arial" w:hAnsi="Arial" w:cs="Arial"/>
          <w:sz w:val="20"/>
          <w:szCs w:val="20"/>
          <w:lang w:val="en-GB"/>
        </w:rPr>
      </w:pPr>
      <w:r>
        <w:rPr>
          <w:rFonts w:ascii="Arial" w:hAnsi="Arial" w:cs="Arial"/>
          <w:sz w:val="20"/>
          <w:szCs w:val="20"/>
          <w:lang w:val="en-GB"/>
        </w:rPr>
        <w:lastRenderedPageBreak/>
        <w:t>Annex 2: French translation, the English version prevails</w:t>
      </w:r>
    </w:p>
    <w:p w14:paraId="352130C8" w14:textId="77777777" w:rsidR="00C97973" w:rsidRDefault="00C97973" w:rsidP="00C97973">
      <w:pPr>
        <w:spacing w:after="0"/>
        <w:rPr>
          <w:rFonts w:ascii="Arial" w:hAnsi="Arial" w:cs="Arial"/>
          <w:sz w:val="20"/>
          <w:szCs w:val="20"/>
          <w:lang w:val="en-GB"/>
        </w:rPr>
      </w:pPr>
    </w:p>
    <w:p w14:paraId="555942A5" w14:textId="77777777" w:rsidR="00C97973" w:rsidRDefault="00C97973" w:rsidP="00C97973">
      <w:pPr>
        <w:pStyle w:val="Body"/>
        <w:spacing w:after="0"/>
        <w:ind w:left="720" w:firstLine="720"/>
        <w:jc w:val="left"/>
        <w:rPr>
          <w:rFonts w:ascii="Lato" w:eastAsiaTheme="minorEastAsia" w:hAnsi="Lato"/>
          <w:b/>
          <w:bCs/>
          <w:color w:val="002060"/>
          <w:kern w:val="0"/>
          <w:sz w:val="26"/>
          <w:szCs w:val="26"/>
          <w:lang w:eastAsia="zh-CN"/>
        </w:rPr>
      </w:pPr>
      <w:r w:rsidRPr="002E72A4">
        <w:rPr>
          <w:b/>
          <w:color w:val="002060"/>
          <w:kern w:val="0"/>
          <w:sz w:val="26"/>
          <w:lang w:val="en-US" w:bidi="fr-FR"/>
        </w:rPr>
        <w:t>PG IMPACT INVESTMENTS II (USD) S.C.A., SICAV-RAIF</w:t>
      </w:r>
    </w:p>
    <w:p w14:paraId="5C5E938C" w14:textId="77777777" w:rsidR="00C97973" w:rsidRDefault="00C97973" w:rsidP="00C97973">
      <w:pPr>
        <w:spacing w:after="0"/>
        <w:jc w:val="both"/>
        <w:rPr>
          <w:b/>
          <w:bCs/>
          <w:sz w:val="24"/>
          <w:lang w:val="en-GB"/>
        </w:rPr>
      </w:pPr>
    </w:p>
    <w:p w14:paraId="334F595F" w14:textId="77777777" w:rsidR="00C97973" w:rsidRDefault="00C97973" w:rsidP="00DC175E">
      <w:pPr>
        <w:pStyle w:val="Heading1"/>
        <w:numPr>
          <w:ilvl w:val="0"/>
          <w:numId w:val="46"/>
        </w:numPr>
        <w:spacing w:after="0"/>
        <w:ind w:left="709"/>
        <w:rPr>
          <w:sz w:val="22"/>
          <w:szCs w:val="22"/>
          <w:lang w:val="en-GB"/>
        </w:rPr>
      </w:pPr>
      <w:r>
        <w:rPr>
          <w:sz w:val="22"/>
          <w:lang w:val="fr-FR" w:bidi="fr-FR"/>
        </w:rPr>
        <w:t xml:space="preserve">Résumé </w:t>
      </w:r>
    </w:p>
    <w:p w14:paraId="0624607D"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 règlement (UE) 2019/2088 du Parlement européen et du Conseil du 27 novembre 2019 sur la publication d’informations en matière de durabilité dans le secteur des services financiers (le « </w:t>
      </w:r>
      <w:r>
        <w:rPr>
          <w:b/>
          <w:sz w:val="22"/>
          <w:lang w:val="fr-FR" w:bidi="fr-FR"/>
        </w:rPr>
        <w:t>SFDR</w:t>
      </w:r>
      <w:r>
        <w:rPr>
          <w:sz w:val="22"/>
          <w:lang w:val="fr-FR" w:bidi="fr-FR"/>
        </w:rPr>
        <w:t> ») et le règlement (UE) 2020/852 sur l'établissement d'un cadre visant à faciliter l'investissement durable et modifiant le règlement UE 2019/2088 (le « </w:t>
      </w:r>
      <w:r>
        <w:rPr>
          <w:b/>
          <w:sz w:val="22"/>
          <w:lang w:val="fr-FR" w:bidi="fr-FR"/>
        </w:rPr>
        <w:t>règlement sur la taxonomie</w:t>
      </w:r>
      <w:r>
        <w:rPr>
          <w:sz w:val="22"/>
          <w:lang w:val="fr-FR" w:bidi="fr-FR"/>
        </w:rPr>
        <w:t> ») (ensemble, les « </w:t>
      </w:r>
      <w:r>
        <w:rPr>
          <w:b/>
          <w:sz w:val="22"/>
          <w:lang w:val="fr-FR" w:bidi="fr-FR"/>
        </w:rPr>
        <w:t>règlements sur la divulgation</w:t>
      </w:r>
      <w:r>
        <w:rPr>
          <w:sz w:val="22"/>
          <w:lang w:val="fr-FR" w:bidi="fr-FR"/>
        </w:rPr>
        <w:t> ») visent à fournir plus de transparence aux investisseurs sur l'intégration du risque de durabilité, sur la prise en compte des impacts négatifs sur la durabilité dans les processus d'investissement sur la promotion des facteurs environnementaux, sociaux et/ou de gouvernance (« </w:t>
      </w:r>
      <w:r>
        <w:rPr>
          <w:b/>
          <w:sz w:val="22"/>
          <w:lang w:val="fr-FR" w:bidi="fr-FR"/>
        </w:rPr>
        <w:t>ESG</w:t>
      </w:r>
      <w:r>
        <w:rPr>
          <w:sz w:val="22"/>
          <w:lang w:val="fr-FR" w:bidi="fr-FR"/>
        </w:rPr>
        <w:t xml:space="preserve"> »). En particulier, il exige des gestionnaires de fonds et des conseillers qu'ils divulguent aux investisseurs des informations spécifiques liées à l'ESG sur leurs sites web. </w:t>
      </w:r>
    </w:p>
    <w:p w14:paraId="3C96601F" w14:textId="77777777" w:rsidR="00C97973" w:rsidRPr="002E72A4" w:rsidRDefault="00C97973" w:rsidP="00C97973">
      <w:pPr>
        <w:pStyle w:val="ListParagraph"/>
        <w:spacing w:after="0" w:line="276" w:lineRule="auto"/>
        <w:ind w:left="0"/>
        <w:jc w:val="both"/>
        <w:rPr>
          <w:sz w:val="22"/>
          <w:szCs w:val="22"/>
          <w:lang w:val="fr-CH"/>
        </w:rPr>
      </w:pPr>
    </w:p>
    <w:p w14:paraId="6FF24E64"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Les règlements sur la divulgation ont complétés par les mesures d'application de l'UE (appelées normes réglementaires et techniques ou « </w:t>
      </w:r>
      <w:r>
        <w:rPr>
          <w:b/>
          <w:sz w:val="22"/>
          <w:lang w:val="fr-FR" w:bidi="fr-FR"/>
        </w:rPr>
        <w:t>RTS</w:t>
      </w:r>
      <w:r>
        <w:rPr>
          <w:sz w:val="22"/>
          <w:lang w:val="fr-FR" w:bidi="fr-FR"/>
        </w:rPr>
        <w:t xml:space="preserve"> »), telles qu’applicables de temps en </w:t>
      </w:r>
      <w:proofErr w:type="gramStart"/>
      <w:r>
        <w:rPr>
          <w:sz w:val="22"/>
          <w:lang w:val="fr-FR" w:bidi="fr-FR"/>
        </w:rPr>
        <w:t>temps..</w:t>
      </w:r>
      <w:proofErr w:type="gramEnd"/>
    </w:p>
    <w:p w14:paraId="3DB636F5" w14:textId="77777777" w:rsidR="00C97973" w:rsidRPr="002E72A4" w:rsidRDefault="00C97973" w:rsidP="00C97973">
      <w:pPr>
        <w:pStyle w:val="ListParagraph"/>
        <w:spacing w:after="0" w:line="276" w:lineRule="auto"/>
        <w:ind w:left="0"/>
        <w:jc w:val="both"/>
        <w:rPr>
          <w:sz w:val="22"/>
          <w:szCs w:val="22"/>
          <w:lang w:val="fr-CH"/>
        </w:rPr>
      </w:pPr>
    </w:p>
    <w:p w14:paraId="12672CBF"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PG IMPACT INVESTMENTS II (USD) S.C.A., SICAV-RAIF (le « </w:t>
      </w:r>
      <w:r>
        <w:rPr>
          <w:b/>
          <w:sz w:val="22"/>
          <w:lang w:val="fr-FR" w:bidi="fr-FR"/>
        </w:rPr>
        <w:t>Fonds</w:t>
      </w:r>
      <w:r>
        <w:rPr>
          <w:sz w:val="22"/>
          <w:lang w:val="fr-FR" w:bidi="fr-FR"/>
        </w:rPr>
        <w:t xml:space="preserve"> ») est constitué pour investir dans le capital-investissement et la dette privée. Le Fonds est géré par son gestionnaire de fonds d'investissement alternatif, Alter Domus Management </w:t>
      </w:r>
      <w:proofErr w:type="spellStart"/>
      <w:r>
        <w:rPr>
          <w:sz w:val="22"/>
          <w:lang w:val="fr-FR" w:bidi="fr-FR"/>
        </w:rPr>
        <w:t>Company</w:t>
      </w:r>
      <w:proofErr w:type="spellEnd"/>
      <w:r>
        <w:rPr>
          <w:sz w:val="22"/>
          <w:lang w:val="fr-FR" w:bidi="fr-FR"/>
        </w:rPr>
        <w:t xml:space="preserve"> S.A. (le « </w:t>
      </w:r>
      <w:r>
        <w:rPr>
          <w:b/>
          <w:sz w:val="22"/>
          <w:lang w:val="fr-FR" w:bidi="fr-FR"/>
        </w:rPr>
        <w:t>Gestionnaire</w:t>
      </w:r>
      <w:r>
        <w:rPr>
          <w:sz w:val="22"/>
          <w:lang w:val="fr-FR" w:bidi="fr-FR"/>
        </w:rPr>
        <w:t> »). Blue Earth Capital AG (précédemment connu sous le nom de PG Impact Investments AG) agit en qualité de conseiller du gestionnaire. Les informations ci-dessous fournies par le gestionnaire sont basées sur la consultation, les informations et les recommandations reçues du conseiller. Le Gestionnaire s'engage à investir de manière responsable en intégrant activement les considérations ESG dans sa sélection d'investissement et son processus de suivi continu.</w:t>
      </w:r>
    </w:p>
    <w:p w14:paraId="1B2C69C4" w14:textId="77777777" w:rsidR="00C97973" w:rsidRPr="002E72A4" w:rsidRDefault="00C97973" w:rsidP="00C97973">
      <w:pPr>
        <w:pStyle w:val="ListParagraph"/>
        <w:spacing w:after="0" w:line="276" w:lineRule="auto"/>
        <w:ind w:left="0"/>
        <w:jc w:val="both"/>
        <w:rPr>
          <w:sz w:val="22"/>
          <w:szCs w:val="22"/>
          <w:lang w:val="fr-CH"/>
        </w:rPr>
      </w:pPr>
    </w:p>
    <w:p w14:paraId="11E23788"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 xml:space="preserve">Le Fonds promeut des caractéristiques environnementales ou sociales, mais n'a pas pour objectif un investissement durable. Le Fonds ne tient pas compte, à ce stade, des principaux impacts négatifs sur le développement durable tels que définis dans la SFDR, mais suit une évaluation complète de l'impact et de l'ESG, qui comprend l'application d'outils d'évaluation ESG exclusifs adaptés à chaque stratégie d'investissement pour la sélection des risques ESG. </w:t>
      </w:r>
    </w:p>
    <w:p w14:paraId="2E792025" w14:textId="77777777" w:rsidR="00C97973" w:rsidRPr="002E72A4" w:rsidRDefault="00C97973" w:rsidP="00C97973">
      <w:pPr>
        <w:pStyle w:val="ListParagraph"/>
        <w:spacing w:after="0" w:line="276" w:lineRule="auto"/>
        <w:ind w:left="0"/>
        <w:jc w:val="both"/>
        <w:rPr>
          <w:sz w:val="22"/>
          <w:szCs w:val="22"/>
          <w:lang w:val="fr-CH"/>
        </w:rPr>
      </w:pPr>
    </w:p>
    <w:p w14:paraId="77D2E6B5"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 Fonds a une stratégie de marché privé visant à la fois à générer un rendement financier positif et à obtenir un impact social et environnemental positif, tel qu'encadré par les ODD. Pour atteindre ces objectifs, le Fonds intègre des considérations d'impact tout au long du cycle de vie de l'investissement, y compris une méthodologie d'évaluation et de rapport d'impact de premier ordre.</w:t>
      </w:r>
    </w:p>
    <w:p w14:paraId="70E9A197" w14:textId="77777777" w:rsidR="00C97973" w:rsidRPr="002E72A4" w:rsidRDefault="00C97973" w:rsidP="00C97973">
      <w:pPr>
        <w:pStyle w:val="ListParagraph"/>
        <w:spacing w:after="0" w:line="276" w:lineRule="auto"/>
        <w:ind w:left="0"/>
        <w:jc w:val="both"/>
        <w:rPr>
          <w:sz w:val="22"/>
          <w:szCs w:val="22"/>
          <w:lang w:val="fr-CH"/>
        </w:rPr>
      </w:pPr>
    </w:p>
    <w:p w14:paraId="4DE9172A"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 xml:space="preserve">Le gestionnaire investit dans la croissance d'entreprises sociales attrayantes, dotées d'un modèle économique éprouvé, d'un fort potentiel de développement et d'un impact social/environnemental mesurable et évolutif. Le Fonds investit dans tous les secteurs à impact, en privilégiant l'inclusion financière, les logements abordables, l'accès à l'énergie, l'alimentation et l'agriculture, les soins de santé et l'éducation. Les stratégies d'investissement sont définies pour chaque secteur prioritaire </w:t>
      </w:r>
      <w:r>
        <w:rPr>
          <w:sz w:val="22"/>
          <w:lang w:val="fr-FR" w:bidi="fr-FR"/>
        </w:rPr>
        <w:lastRenderedPageBreak/>
        <w:t>sur la base de la viabilité à long terme des modèles commerciaux, des opportunités de croissance/création de valeur, ainsi que de l'échelle et de la profondeur de l'impact.</w:t>
      </w:r>
    </w:p>
    <w:p w14:paraId="022A8319" w14:textId="77777777" w:rsidR="00C97973" w:rsidRPr="002E72A4" w:rsidRDefault="00C97973" w:rsidP="00C97973">
      <w:pPr>
        <w:pStyle w:val="ListParagraph"/>
        <w:spacing w:after="0" w:line="276" w:lineRule="auto"/>
        <w:ind w:left="0"/>
        <w:jc w:val="both"/>
        <w:rPr>
          <w:sz w:val="22"/>
          <w:szCs w:val="22"/>
          <w:lang w:val="fr-CH"/>
        </w:rPr>
      </w:pPr>
    </w:p>
    <w:p w14:paraId="33F40B95"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 fonds s'engage à réaliser une part minimale de 90% dans des investissements alignés sur les caractéristiques E/S. Les autres investissements comprendront (i) des instruments dérivés utilisés pour réduire les risques de change et de taux d'intérêt tels que décrits ci-dessus et (ii) des liquidités utilisées à des fins de liquidité efficace et de gestion efficace du portefeuille ou de gestion des coûts qui ne font pas réellement partie du portefeuille d'investissement.</w:t>
      </w:r>
    </w:p>
    <w:p w14:paraId="346D2122"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 gestionnaire effectuera une évaluation qualitative des indicateurs de durabilité sur une base régulière et surveillera activement les indicateurs de durabilité et les incidents ESG et examinera les progrès ESG sur une base annuelle.</w:t>
      </w:r>
    </w:p>
    <w:p w14:paraId="599CE333" w14:textId="77777777" w:rsidR="00C97973" w:rsidRPr="002E72A4" w:rsidRDefault="00C97973" w:rsidP="00C97973">
      <w:pPr>
        <w:pStyle w:val="ListParagraph"/>
        <w:spacing w:after="0" w:line="276" w:lineRule="auto"/>
        <w:ind w:left="0"/>
        <w:jc w:val="both"/>
        <w:rPr>
          <w:sz w:val="22"/>
          <w:szCs w:val="22"/>
          <w:lang w:val="fr-CH"/>
        </w:rPr>
      </w:pPr>
    </w:p>
    <w:p w14:paraId="72C51129"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La méthodologie d'évaluation et de gestion de l'impact et des facteurs ESG du gestionnaire est basée sur les outils suivants : (1) Projet de gestion de l'impact ; (2) Modèle logique (« </w:t>
      </w:r>
      <w:r>
        <w:rPr>
          <w:b/>
          <w:sz w:val="22"/>
          <w:lang w:val="fr-FR" w:bidi="fr-FR"/>
        </w:rPr>
        <w:t>Théorie du changement </w:t>
      </w:r>
      <w:r>
        <w:rPr>
          <w:sz w:val="22"/>
          <w:lang w:val="fr-FR" w:bidi="fr-FR"/>
        </w:rPr>
        <w:t>») ; (3) Objectifs de développement durable des Nations unies ; (4) Paramètres IRIS ; et Outils de diligence raisonnable ESG.</w:t>
      </w:r>
    </w:p>
    <w:p w14:paraId="0D3058D8" w14:textId="77777777" w:rsidR="00C97973" w:rsidRPr="002E72A4" w:rsidRDefault="00C97973" w:rsidP="00C97973">
      <w:pPr>
        <w:pStyle w:val="ListParagraph"/>
        <w:spacing w:after="0" w:line="276" w:lineRule="auto"/>
        <w:ind w:left="0"/>
        <w:jc w:val="both"/>
        <w:rPr>
          <w:sz w:val="22"/>
          <w:szCs w:val="22"/>
          <w:lang w:val="fr-CH"/>
        </w:rPr>
      </w:pPr>
    </w:p>
    <w:p w14:paraId="12CD0F31"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Les entreprises et les actifs ciblés ne sont sélectionnés qu'après une évaluation d'impact approfondie, à la fois lors de la recherche de contrats et de la diligence raisonnable, pour leur potentiel à générer des impacts environnementaux et sociaux positifs en rapport avec les ODD.</w:t>
      </w:r>
    </w:p>
    <w:p w14:paraId="5FCC9188" w14:textId="77777777" w:rsidR="00C97973" w:rsidRPr="002E72A4" w:rsidRDefault="00C97973" w:rsidP="00C97973">
      <w:pPr>
        <w:pStyle w:val="ListParagraph"/>
        <w:spacing w:after="0" w:line="276" w:lineRule="auto"/>
        <w:ind w:left="0"/>
        <w:jc w:val="both"/>
        <w:rPr>
          <w:sz w:val="22"/>
          <w:szCs w:val="22"/>
          <w:lang w:val="fr-CH"/>
        </w:rPr>
      </w:pPr>
    </w:p>
    <w:p w14:paraId="45F7FA3A" w14:textId="77777777" w:rsidR="00C97973" w:rsidRPr="002E72A4" w:rsidRDefault="00C97973" w:rsidP="00C97973">
      <w:pPr>
        <w:pStyle w:val="ListParagraph"/>
        <w:spacing w:after="0" w:line="276" w:lineRule="auto"/>
        <w:ind w:left="0"/>
        <w:jc w:val="both"/>
        <w:rPr>
          <w:sz w:val="22"/>
          <w:szCs w:val="22"/>
          <w:lang w:val="fr-CH"/>
        </w:rPr>
      </w:pPr>
      <w:r>
        <w:rPr>
          <w:sz w:val="22"/>
          <w:lang w:val="fr-FR" w:bidi="fr-FR"/>
        </w:rPr>
        <w:t>Le fonds poursuit une stratégie de gestion active des investissements et n'investit pas par référence à un indice et n'a pas l'intention de le faire.</w:t>
      </w:r>
    </w:p>
    <w:p w14:paraId="55476B85" w14:textId="77777777" w:rsidR="00C97973" w:rsidRPr="002E72A4" w:rsidRDefault="00C97973" w:rsidP="00C97973">
      <w:pPr>
        <w:spacing w:after="0"/>
        <w:rPr>
          <w:sz w:val="22"/>
          <w:szCs w:val="22"/>
          <w:lang w:val="fr-CH"/>
        </w:rPr>
      </w:pPr>
    </w:p>
    <w:p w14:paraId="2FF4AF19" w14:textId="77777777" w:rsidR="00C97973" w:rsidRPr="002E72A4" w:rsidRDefault="00C97973" w:rsidP="00C97973">
      <w:pPr>
        <w:spacing w:after="0"/>
        <w:rPr>
          <w:rFonts w:ascii="Arial" w:hAnsi="Arial" w:cs="Arial"/>
          <w:sz w:val="20"/>
          <w:szCs w:val="20"/>
          <w:lang w:val="fr-CH"/>
        </w:rPr>
      </w:pPr>
    </w:p>
    <w:p w14:paraId="58EE2D7E" w14:textId="77777777" w:rsidR="00C97973" w:rsidRPr="002E72A4" w:rsidRDefault="00C97973" w:rsidP="00C97973">
      <w:pPr>
        <w:spacing w:after="0"/>
        <w:rPr>
          <w:rFonts w:ascii="Arial" w:hAnsi="Arial" w:cs="Arial"/>
          <w:sz w:val="20"/>
          <w:szCs w:val="20"/>
          <w:lang w:val="fr-CH"/>
        </w:rPr>
      </w:pPr>
      <w:r w:rsidRPr="002E72A4">
        <w:rPr>
          <w:rFonts w:ascii="Arial" w:hAnsi="Arial" w:cs="Arial"/>
          <w:sz w:val="20"/>
          <w:szCs w:val="20"/>
          <w:lang w:val="fr-CH"/>
        </w:rPr>
        <w:br w:type="page"/>
      </w:r>
    </w:p>
    <w:p w14:paraId="44542BB1" w14:textId="77777777" w:rsidR="00C97973" w:rsidRDefault="00C97973" w:rsidP="00C97973">
      <w:pPr>
        <w:spacing w:after="0"/>
        <w:rPr>
          <w:rFonts w:ascii="Arial" w:hAnsi="Arial" w:cs="Arial"/>
          <w:sz w:val="20"/>
          <w:szCs w:val="20"/>
          <w:lang w:val="en-GB"/>
        </w:rPr>
      </w:pPr>
      <w:r>
        <w:rPr>
          <w:rFonts w:ascii="Arial" w:hAnsi="Arial" w:cs="Arial"/>
          <w:sz w:val="20"/>
          <w:szCs w:val="20"/>
          <w:lang w:val="en-GB"/>
        </w:rPr>
        <w:lastRenderedPageBreak/>
        <w:t>Annex 3: Swedish translation, the English version prevails</w:t>
      </w:r>
    </w:p>
    <w:p w14:paraId="6C1CF4DF" w14:textId="77777777" w:rsidR="00C97973" w:rsidRDefault="00C97973" w:rsidP="00C97973">
      <w:pPr>
        <w:spacing w:after="0"/>
        <w:rPr>
          <w:rFonts w:ascii="Arial" w:hAnsi="Arial" w:cs="Arial"/>
          <w:sz w:val="20"/>
          <w:szCs w:val="20"/>
          <w:lang w:val="en-GB"/>
        </w:rPr>
      </w:pPr>
    </w:p>
    <w:p w14:paraId="2DEB0B78" w14:textId="77777777" w:rsidR="00C97973" w:rsidRDefault="00C97973" w:rsidP="00C97973">
      <w:pPr>
        <w:pStyle w:val="Body"/>
        <w:spacing w:after="0"/>
        <w:ind w:left="720" w:firstLine="720"/>
        <w:jc w:val="left"/>
        <w:rPr>
          <w:rFonts w:ascii="Lato" w:eastAsiaTheme="minorEastAsia" w:hAnsi="Lato"/>
          <w:b/>
          <w:bCs/>
          <w:color w:val="002060"/>
          <w:kern w:val="0"/>
          <w:sz w:val="26"/>
          <w:szCs w:val="26"/>
          <w:lang w:eastAsia="zh-CN"/>
        </w:rPr>
      </w:pPr>
      <w:r>
        <w:rPr>
          <w:b/>
          <w:color w:val="002060"/>
          <w:kern w:val="0"/>
          <w:sz w:val="26"/>
          <w:lang w:val="sv-SE" w:bidi="sv-SE"/>
        </w:rPr>
        <w:t>PG IMPACT INVESTMENTS II (USD) S.C.A., SICAV-RAIF</w:t>
      </w:r>
    </w:p>
    <w:p w14:paraId="2D23C932" w14:textId="77777777" w:rsidR="00C97973" w:rsidRDefault="00C97973" w:rsidP="00C97973">
      <w:pPr>
        <w:spacing w:after="0"/>
        <w:jc w:val="both"/>
        <w:rPr>
          <w:b/>
          <w:bCs/>
          <w:sz w:val="24"/>
          <w:lang w:val="en-GB"/>
        </w:rPr>
      </w:pPr>
    </w:p>
    <w:p w14:paraId="50EA4B65" w14:textId="77777777" w:rsidR="00C97973" w:rsidRDefault="00C97973" w:rsidP="00DC175E">
      <w:pPr>
        <w:pStyle w:val="Heading1"/>
        <w:numPr>
          <w:ilvl w:val="0"/>
          <w:numId w:val="47"/>
        </w:numPr>
        <w:spacing w:after="0"/>
        <w:ind w:left="709"/>
        <w:rPr>
          <w:sz w:val="22"/>
          <w:szCs w:val="22"/>
          <w:lang w:val="en-GB"/>
        </w:rPr>
      </w:pPr>
      <w:r>
        <w:rPr>
          <w:sz w:val="22"/>
          <w:lang w:val="sv-SE" w:bidi="sv-SE"/>
        </w:rPr>
        <w:t xml:space="preserve">Sammanfattning </w:t>
      </w:r>
    </w:p>
    <w:p w14:paraId="475B3F6D" w14:textId="77777777" w:rsidR="00C97973" w:rsidRDefault="00C97973" w:rsidP="00C97973">
      <w:pPr>
        <w:pStyle w:val="ListParagraph"/>
        <w:spacing w:after="0" w:line="276" w:lineRule="auto"/>
        <w:ind w:left="0"/>
        <w:jc w:val="both"/>
        <w:rPr>
          <w:sz w:val="22"/>
          <w:szCs w:val="22"/>
          <w:lang w:val="sv-SE"/>
        </w:rPr>
      </w:pPr>
      <w:r>
        <w:rPr>
          <w:sz w:val="22"/>
          <w:lang w:val="sv-SE" w:bidi="sv-SE"/>
        </w:rPr>
        <w:t>Europaparlamentets och rådets förordning (EU) 2019/2088 av den 27 november 2019 om hållbarhetsrelaterade upplysningar inom sektorn för finansiella tjänster (”</w:t>
      </w:r>
      <w:r>
        <w:rPr>
          <w:b/>
          <w:sz w:val="22"/>
          <w:lang w:val="sv-SE" w:bidi="sv-SE"/>
        </w:rPr>
        <w:t>SFDR</w:t>
      </w:r>
      <w:r>
        <w:rPr>
          <w:sz w:val="22"/>
          <w:lang w:val="sv-SE" w:bidi="sv-SE"/>
        </w:rPr>
        <w:t>”) och förordningen (EU) 2020/852 om inrättande av ett ramverk för att underlätta hållbara investeringar och ändring av EU-förordning 2019/2088 ("</w:t>
      </w:r>
      <w:r>
        <w:rPr>
          <w:b/>
          <w:sz w:val="22"/>
          <w:lang w:val="sv-SE" w:bidi="sv-SE"/>
        </w:rPr>
        <w:t>Taxonomiförordningen</w:t>
      </w:r>
      <w:r>
        <w:rPr>
          <w:sz w:val="22"/>
          <w:lang w:val="sv-SE" w:bidi="sv-SE"/>
        </w:rPr>
        <w:t>") (tillsammans "</w:t>
      </w:r>
      <w:r>
        <w:rPr>
          <w:b/>
          <w:sz w:val="22"/>
          <w:lang w:val="sv-SE" w:bidi="sv-SE"/>
        </w:rPr>
        <w:t>Regler om offentliggörande</w:t>
      </w:r>
      <w:r>
        <w:rPr>
          <w:sz w:val="22"/>
          <w:lang w:val="sv-SE" w:bidi="sv-SE"/>
        </w:rPr>
        <w:t>") syftar till att ge investerare mer insyn i hållbarhetsriskintegration, om beaktande av negativa hållbarhetseffekter i investeringsprocesserna och om främjande av miljömässiga, sociala och/eller faktorer för bolagsstyrning (“</w:t>
      </w:r>
      <w:r>
        <w:rPr>
          <w:b/>
          <w:sz w:val="22"/>
          <w:lang w:val="sv-SE" w:bidi="sv-SE"/>
        </w:rPr>
        <w:t>ESG</w:t>
      </w:r>
      <w:r>
        <w:rPr>
          <w:sz w:val="22"/>
          <w:lang w:val="sv-SE" w:bidi="sv-SE"/>
        </w:rPr>
        <w:t xml:space="preserve">”). Det kräver särskilt att fondförvaltare och rådgivare lämnar ut specifik ESG-relaterad information till investerare på sina webbplatser. </w:t>
      </w:r>
    </w:p>
    <w:p w14:paraId="129D1B5B" w14:textId="77777777" w:rsidR="00C97973" w:rsidRDefault="00C97973" w:rsidP="00C97973">
      <w:pPr>
        <w:pStyle w:val="ListParagraph"/>
        <w:spacing w:after="0" w:line="276" w:lineRule="auto"/>
        <w:ind w:left="0"/>
        <w:jc w:val="both"/>
        <w:rPr>
          <w:sz w:val="22"/>
          <w:szCs w:val="22"/>
          <w:lang w:val="sv-SE"/>
        </w:rPr>
      </w:pPr>
    </w:p>
    <w:p w14:paraId="302F34F9" w14:textId="77777777" w:rsidR="00C97973" w:rsidRDefault="00C97973" w:rsidP="00C97973">
      <w:pPr>
        <w:pStyle w:val="ListParagraph"/>
        <w:spacing w:after="0" w:line="276" w:lineRule="auto"/>
        <w:ind w:left="0"/>
        <w:jc w:val="both"/>
        <w:rPr>
          <w:sz w:val="22"/>
          <w:szCs w:val="22"/>
          <w:lang w:val="sv-SE"/>
        </w:rPr>
      </w:pPr>
      <w:r>
        <w:rPr>
          <w:sz w:val="22"/>
          <w:lang w:val="sv-SE" w:bidi="sv-SE"/>
        </w:rPr>
        <w:t>Regler om offentliggörande har kompletterats av EU:s genomförandeåtgärder (så kallade regeltekniska standarder eller ”</w:t>
      </w:r>
      <w:r>
        <w:rPr>
          <w:b/>
          <w:sz w:val="22"/>
          <w:lang w:val="sv-SE" w:bidi="sv-SE"/>
        </w:rPr>
        <w:t>RTS</w:t>
      </w:r>
      <w:r>
        <w:rPr>
          <w:sz w:val="22"/>
          <w:lang w:val="sv-SE" w:bidi="sv-SE"/>
        </w:rPr>
        <w:t>”), som är tillämpliga från tid till annan.</w:t>
      </w:r>
    </w:p>
    <w:p w14:paraId="1E0FEFCD" w14:textId="77777777" w:rsidR="00C97973" w:rsidRDefault="00C97973" w:rsidP="00C97973">
      <w:pPr>
        <w:pStyle w:val="ListParagraph"/>
        <w:spacing w:after="0" w:line="276" w:lineRule="auto"/>
        <w:ind w:left="0"/>
        <w:jc w:val="both"/>
        <w:rPr>
          <w:sz w:val="22"/>
          <w:szCs w:val="22"/>
          <w:lang w:val="sv-SE"/>
        </w:rPr>
      </w:pPr>
    </w:p>
    <w:p w14:paraId="646F5FEA" w14:textId="77777777" w:rsidR="00C97973" w:rsidRDefault="00C97973" w:rsidP="00C97973">
      <w:pPr>
        <w:pStyle w:val="ListParagraph"/>
        <w:spacing w:after="0" w:line="276" w:lineRule="auto"/>
        <w:ind w:left="0"/>
        <w:jc w:val="both"/>
        <w:rPr>
          <w:sz w:val="22"/>
          <w:szCs w:val="22"/>
          <w:lang w:val="sv-SE"/>
        </w:rPr>
      </w:pPr>
      <w:r>
        <w:rPr>
          <w:sz w:val="22"/>
          <w:lang w:val="sv-SE" w:bidi="sv-SE"/>
        </w:rPr>
        <w:t>PG IMPACT INVESTMENTS II (PÅVERKANSFOND) (USD) S.C.A., SICAV-RAIF (”</w:t>
      </w:r>
      <w:r>
        <w:rPr>
          <w:b/>
          <w:sz w:val="22"/>
          <w:lang w:val="sv-SE" w:bidi="sv-SE"/>
        </w:rPr>
        <w:t>fonden</w:t>
      </w:r>
      <w:r>
        <w:rPr>
          <w:sz w:val="22"/>
          <w:lang w:val="sv-SE" w:bidi="sv-SE"/>
        </w:rPr>
        <w:t xml:space="preserve">”) bildas för att investera i private </w:t>
      </w:r>
      <w:proofErr w:type="spellStart"/>
      <w:r>
        <w:rPr>
          <w:sz w:val="22"/>
          <w:lang w:val="sv-SE" w:bidi="sv-SE"/>
        </w:rPr>
        <w:t>equity</w:t>
      </w:r>
      <w:proofErr w:type="spellEnd"/>
      <w:r>
        <w:rPr>
          <w:sz w:val="22"/>
          <w:lang w:val="sv-SE" w:bidi="sv-SE"/>
        </w:rPr>
        <w:t xml:space="preserve"> och private </w:t>
      </w:r>
      <w:proofErr w:type="spellStart"/>
      <w:r>
        <w:rPr>
          <w:sz w:val="22"/>
          <w:lang w:val="sv-SE" w:bidi="sv-SE"/>
        </w:rPr>
        <w:t>debt</w:t>
      </w:r>
      <w:proofErr w:type="spellEnd"/>
      <w:r>
        <w:rPr>
          <w:sz w:val="22"/>
          <w:lang w:val="sv-SE" w:bidi="sv-SE"/>
        </w:rPr>
        <w:t xml:space="preserve">. Fonden förvaltas av dess förvaltare av alternativa investeringsfonder, Alter Domus Management Company </w:t>
      </w:r>
      <w:proofErr w:type="gramStart"/>
      <w:r>
        <w:rPr>
          <w:sz w:val="22"/>
          <w:lang w:val="sv-SE" w:bidi="sv-SE"/>
        </w:rPr>
        <w:t>S.A..</w:t>
      </w:r>
      <w:proofErr w:type="gramEnd"/>
      <w:r>
        <w:rPr>
          <w:sz w:val="22"/>
          <w:lang w:val="sv-SE" w:bidi="sv-SE"/>
        </w:rPr>
        <w:t xml:space="preserve"> (”</w:t>
      </w:r>
      <w:r>
        <w:rPr>
          <w:b/>
          <w:sz w:val="22"/>
          <w:lang w:val="sv-SE" w:bidi="sv-SE"/>
        </w:rPr>
        <w:t>förvaltaren</w:t>
      </w:r>
      <w:r>
        <w:rPr>
          <w:sz w:val="22"/>
          <w:lang w:val="sv-SE" w:bidi="sv-SE"/>
        </w:rPr>
        <w:t xml:space="preserve">”). Blue Earth </w:t>
      </w:r>
      <w:proofErr w:type="spellStart"/>
      <w:r>
        <w:rPr>
          <w:sz w:val="22"/>
          <w:lang w:val="sv-SE" w:bidi="sv-SE"/>
        </w:rPr>
        <w:t>Capital</w:t>
      </w:r>
      <w:proofErr w:type="spellEnd"/>
      <w:r>
        <w:rPr>
          <w:sz w:val="22"/>
          <w:lang w:val="sv-SE" w:bidi="sv-SE"/>
        </w:rPr>
        <w:t xml:space="preserve"> AG (tidigare känt som PG </w:t>
      </w:r>
      <w:proofErr w:type="spellStart"/>
      <w:r>
        <w:rPr>
          <w:sz w:val="22"/>
          <w:lang w:val="sv-SE" w:bidi="sv-SE"/>
        </w:rPr>
        <w:t>Impact</w:t>
      </w:r>
      <w:proofErr w:type="spellEnd"/>
      <w:r>
        <w:rPr>
          <w:sz w:val="22"/>
          <w:lang w:val="sv-SE" w:bidi="sv-SE"/>
        </w:rPr>
        <w:t xml:space="preserve"> Investments AG) agerar i egenskap av rådgivare till förvaltaren. Nedanstående information från förvaltaren är baserad på rådgivning, information och rekommendationer från rådgivaren. Förvaltaren har åtagit sig att investera på ett ansvarsfullt sätt genom att aktivt integrera ESG-överväganden i sitt investeringsval och sin löpande förfarande övervakning.</w:t>
      </w:r>
    </w:p>
    <w:p w14:paraId="1FBF890C" w14:textId="77777777" w:rsidR="00C97973" w:rsidRDefault="00C97973" w:rsidP="00C97973">
      <w:pPr>
        <w:pStyle w:val="ListParagraph"/>
        <w:spacing w:after="0" w:line="276" w:lineRule="auto"/>
        <w:ind w:left="0"/>
        <w:jc w:val="both"/>
        <w:rPr>
          <w:sz w:val="22"/>
          <w:szCs w:val="22"/>
          <w:lang w:val="sv-SE"/>
        </w:rPr>
      </w:pPr>
    </w:p>
    <w:p w14:paraId="11F96090" w14:textId="77777777" w:rsidR="00C97973" w:rsidRDefault="00C97973" w:rsidP="00C97973">
      <w:pPr>
        <w:pStyle w:val="ListParagraph"/>
        <w:spacing w:after="0" w:line="276" w:lineRule="auto"/>
        <w:ind w:left="0"/>
        <w:jc w:val="both"/>
        <w:rPr>
          <w:sz w:val="22"/>
          <w:szCs w:val="22"/>
          <w:lang w:val="sv-SE"/>
        </w:rPr>
      </w:pPr>
      <w:r>
        <w:rPr>
          <w:sz w:val="22"/>
          <w:lang w:val="sv-SE" w:bidi="sv-SE"/>
        </w:rPr>
        <w:t xml:space="preserve">Fonden främjar miljömässiga eller sociala egenskaper, men har inte som sitt mål en hållbar investering. Fonden kommer inte i detta skede att överväga huvudsaklig negativ hållbarhetspåverkan enligt definitionen i SFDR utan följer en omfattande konsekvens- och ESG-bedömning som inkluderar tillämpningen av egenutvecklade ESG-bedömningsverktyg som är skräddarsydda för varje investeringsstrategi för screening av ESG-risker. </w:t>
      </w:r>
    </w:p>
    <w:p w14:paraId="26FA2791" w14:textId="77777777" w:rsidR="00C97973" w:rsidRDefault="00C97973" w:rsidP="00C97973">
      <w:pPr>
        <w:pStyle w:val="ListParagraph"/>
        <w:spacing w:after="0" w:line="276" w:lineRule="auto"/>
        <w:ind w:left="0"/>
        <w:jc w:val="both"/>
        <w:rPr>
          <w:sz w:val="22"/>
          <w:szCs w:val="22"/>
          <w:lang w:val="sv-SE"/>
        </w:rPr>
      </w:pPr>
    </w:p>
    <w:p w14:paraId="65CCA271" w14:textId="77777777" w:rsidR="00C97973" w:rsidRDefault="00C97973" w:rsidP="00C97973">
      <w:pPr>
        <w:pStyle w:val="ListParagraph"/>
        <w:spacing w:after="0" w:line="276" w:lineRule="auto"/>
        <w:ind w:left="0"/>
        <w:jc w:val="both"/>
        <w:rPr>
          <w:sz w:val="22"/>
          <w:szCs w:val="22"/>
          <w:lang w:val="sv-SE"/>
        </w:rPr>
      </w:pPr>
      <w:r>
        <w:rPr>
          <w:sz w:val="22"/>
          <w:lang w:val="sv-SE" w:bidi="sv-SE"/>
        </w:rPr>
        <w:t>Fonden har en privatmarknadsstrategi som syftar till att både generera positiv ekonomisk avkastning och att uppnå positiv social och miljömässig påverkan, enligt målen för hållbar utveckling (SDG). För att uppnå dessa mål integrerar fonden konsekvensöverväganden under hela investeringslivscykeln, inklusive en förstklassig konsekvensbedömning och rapporteringsmetod.</w:t>
      </w:r>
    </w:p>
    <w:p w14:paraId="7680AECD" w14:textId="77777777" w:rsidR="00C97973" w:rsidRDefault="00C97973" w:rsidP="00C97973">
      <w:pPr>
        <w:pStyle w:val="ListParagraph"/>
        <w:spacing w:after="0" w:line="276" w:lineRule="auto"/>
        <w:ind w:left="0"/>
        <w:jc w:val="both"/>
        <w:rPr>
          <w:sz w:val="22"/>
          <w:szCs w:val="22"/>
          <w:lang w:val="sv-SE"/>
        </w:rPr>
      </w:pPr>
    </w:p>
    <w:p w14:paraId="41BEE1F0" w14:textId="77777777" w:rsidR="00C97973" w:rsidRDefault="00C97973" w:rsidP="00C97973">
      <w:pPr>
        <w:pStyle w:val="ListParagraph"/>
        <w:spacing w:after="0" w:line="276" w:lineRule="auto"/>
        <w:ind w:left="0"/>
        <w:jc w:val="both"/>
        <w:rPr>
          <w:sz w:val="22"/>
          <w:szCs w:val="22"/>
          <w:lang w:val="sv-SE"/>
        </w:rPr>
      </w:pPr>
      <w:r>
        <w:rPr>
          <w:sz w:val="22"/>
          <w:lang w:val="sv-SE" w:bidi="sv-SE"/>
        </w:rPr>
        <w:t>Förvaltaren investerar i tillväxt av attraktiva sociala företag med en beprövad affärsmodell, hög utvecklingspotential och en mätbar och skalbar social/miljöpåverkan. Fonden investerar i alla påverkanssektorer samtidigt som den prioriterar ekonomisk integration, bostäder till rimliga priser, tillgång till energi, mat och agrikultur, hälsovård och utbildning. Investeringsstrategier definieras för varje prioriterad sektor utifrån affärsmodellernas långsiktiga hållbarhet, tillväxt/värdeskapande möjligheter, samt omfattning och påverkansdjup.</w:t>
      </w:r>
    </w:p>
    <w:p w14:paraId="52EE8A94" w14:textId="77777777" w:rsidR="00C97973" w:rsidRDefault="00C97973" w:rsidP="00C97973">
      <w:pPr>
        <w:pStyle w:val="ListParagraph"/>
        <w:spacing w:after="0" w:line="276" w:lineRule="auto"/>
        <w:ind w:left="0"/>
        <w:jc w:val="both"/>
        <w:rPr>
          <w:sz w:val="22"/>
          <w:szCs w:val="22"/>
          <w:lang w:val="sv-SE"/>
        </w:rPr>
      </w:pPr>
    </w:p>
    <w:p w14:paraId="24473A2A" w14:textId="77777777" w:rsidR="00C97973" w:rsidRDefault="00C97973" w:rsidP="00C97973">
      <w:pPr>
        <w:pStyle w:val="ListParagraph"/>
        <w:spacing w:after="0" w:line="276" w:lineRule="auto"/>
        <w:ind w:left="0"/>
        <w:jc w:val="both"/>
        <w:rPr>
          <w:sz w:val="22"/>
          <w:szCs w:val="22"/>
          <w:lang w:val="sv-SE"/>
        </w:rPr>
      </w:pPr>
      <w:r>
        <w:rPr>
          <w:sz w:val="22"/>
          <w:lang w:val="sv-SE" w:bidi="sv-SE"/>
        </w:rPr>
        <w:lastRenderedPageBreak/>
        <w:t>Fonden förbinder sig att göra en minsta andel på 90 % i investeringar i linje med E/S-egenskaper. Övriga investeringar kommer att innefatta (i) derivatinstrument som används för att reducera valuta- och ränterisker enligt beskrivningen ovan och (ii) kontanter som används för effektiv likviditet och effektiv portföljförvaltning eller kostnadshanteringsändamål som faktiskt inte är en del av investeringsportföljen.</w:t>
      </w:r>
    </w:p>
    <w:p w14:paraId="5B8F3466" w14:textId="77777777" w:rsidR="00C97973" w:rsidRDefault="00C97973" w:rsidP="00C97973">
      <w:pPr>
        <w:pStyle w:val="ListParagraph"/>
        <w:spacing w:after="0" w:line="276" w:lineRule="auto"/>
        <w:ind w:left="0"/>
        <w:jc w:val="both"/>
        <w:rPr>
          <w:sz w:val="22"/>
          <w:szCs w:val="22"/>
          <w:lang w:val="sv-SE"/>
        </w:rPr>
      </w:pPr>
      <w:r>
        <w:rPr>
          <w:sz w:val="22"/>
          <w:lang w:val="sv-SE" w:bidi="sv-SE"/>
        </w:rPr>
        <w:t>Förvaltaren kommer på regelbunden basis att göra en kvalitativ bedömning av indikatorer för hållbarhet och kommer aktivt att övervaka indikatorer för hållbarhet och ESG-incidenter och kommer att granska ESG-framsteg på årsbasis.</w:t>
      </w:r>
    </w:p>
    <w:p w14:paraId="1FDA1069" w14:textId="77777777" w:rsidR="00C97973" w:rsidRDefault="00C97973" w:rsidP="00C97973">
      <w:pPr>
        <w:pStyle w:val="ListParagraph"/>
        <w:spacing w:after="0" w:line="276" w:lineRule="auto"/>
        <w:ind w:left="0"/>
        <w:jc w:val="both"/>
        <w:rPr>
          <w:sz w:val="22"/>
          <w:szCs w:val="22"/>
          <w:lang w:val="sv-SE"/>
        </w:rPr>
      </w:pPr>
    </w:p>
    <w:p w14:paraId="0BB46071" w14:textId="77777777" w:rsidR="00C97973" w:rsidRDefault="00C97973" w:rsidP="00C97973">
      <w:pPr>
        <w:pStyle w:val="ListParagraph"/>
        <w:spacing w:after="0" w:line="276" w:lineRule="auto"/>
        <w:ind w:left="0"/>
        <w:jc w:val="both"/>
        <w:rPr>
          <w:sz w:val="22"/>
          <w:szCs w:val="22"/>
          <w:lang w:val="sv-SE"/>
        </w:rPr>
      </w:pPr>
      <w:r>
        <w:rPr>
          <w:sz w:val="22"/>
          <w:lang w:val="sv-SE" w:bidi="sv-SE"/>
        </w:rPr>
        <w:t xml:space="preserve">Förvaltarens inverkan och ESG-bedömning och förvaltningsmetodik är baserad på följande verktyg: (1) </w:t>
      </w:r>
      <w:proofErr w:type="spellStart"/>
      <w:r>
        <w:rPr>
          <w:sz w:val="22"/>
          <w:lang w:val="sv-SE" w:bidi="sv-SE"/>
        </w:rPr>
        <w:t>Impact</w:t>
      </w:r>
      <w:proofErr w:type="spellEnd"/>
      <w:r>
        <w:rPr>
          <w:sz w:val="22"/>
          <w:lang w:val="sv-SE" w:bidi="sv-SE"/>
        </w:rPr>
        <w:t xml:space="preserve"> Management Project; (2) Logisk modell ("</w:t>
      </w:r>
      <w:r>
        <w:rPr>
          <w:b/>
          <w:sz w:val="22"/>
          <w:lang w:val="sv-SE" w:bidi="sv-SE"/>
        </w:rPr>
        <w:t>förändringsteori</w:t>
      </w:r>
      <w:r>
        <w:rPr>
          <w:sz w:val="22"/>
          <w:lang w:val="sv-SE" w:bidi="sv-SE"/>
        </w:rPr>
        <w:t xml:space="preserve">"); (3) Förenta nationernas mål för hållbar utveckling; (4) IRIS-mått; och </w:t>
      </w:r>
      <w:proofErr w:type="spellStart"/>
      <w:r>
        <w:rPr>
          <w:sz w:val="22"/>
          <w:lang w:val="sv-SE" w:bidi="sv-SE"/>
        </w:rPr>
        <w:t>due</w:t>
      </w:r>
      <w:proofErr w:type="spellEnd"/>
      <w:r>
        <w:rPr>
          <w:sz w:val="22"/>
          <w:lang w:val="sv-SE" w:bidi="sv-SE"/>
        </w:rPr>
        <w:t xml:space="preserve"> </w:t>
      </w:r>
      <w:proofErr w:type="spellStart"/>
      <w:r>
        <w:rPr>
          <w:sz w:val="22"/>
          <w:lang w:val="sv-SE" w:bidi="sv-SE"/>
        </w:rPr>
        <w:t>diligence</w:t>
      </w:r>
      <w:proofErr w:type="spellEnd"/>
      <w:r>
        <w:rPr>
          <w:sz w:val="22"/>
          <w:lang w:val="sv-SE" w:bidi="sv-SE"/>
        </w:rPr>
        <w:t xml:space="preserve">-verktyg för </w:t>
      </w:r>
      <w:proofErr w:type="gramStart"/>
      <w:r>
        <w:rPr>
          <w:sz w:val="22"/>
          <w:lang w:val="sv-SE" w:bidi="sv-SE"/>
        </w:rPr>
        <w:t>ESG .</w:t>
      </w:r>
      <w:proofErr w:type="gramEnd"/>
    </w:p>
    <w:p w14:paraId="21E48FCA" w14:textId="77777777" w:rsidR="00C97973" w:rsidRDefault="00C97973" w:rsidP="00C97973">
      <w:pPr>
        <w:pStyle w:val="ListParagraph"/>
        <w:spacing w:after="0" w:line="276" w:lineRule="auto"/>
        <w:ind w:left="0"/>
        <w:jc w:val="both"/>
        <w:rPr>
          <w:sz w:val="22"/>
          <w:szCs w:val="22"/>
          <w:lang w:val="sv-SE"/>
        </w:rPr>
      </w:pPr>
    </w:p>
    <w:p w14:paraId="586D0FD3" w14:textId="77777777" w:rsidR="00C97973" w:rsidRDefault="00C97973" w:rsidP="00C97973">
      <w:pPr>
        <w:pStyle w:val="ListParagraph"/>
        <w:spacing w:after="0" w:line="276" w:lineRule="auto"/>
        <w:ind w:left="0"/>
        <w:jc w:val="both"/>
        <w:rPr>
          <w:sz w:val="22"/>
          <w:szCs w:val="22"/>
          <w:lang w:val="sv-SE"/>
        </w:rPr>
      </w:pPr>
      <w:r>
        <w:rPr>
          <w:sz w:val="22"/>
          <w:lang w:val="sv-SE" w:bidi="sv-SE"/>
        </w:rPr>
        <w:t xml:space="preserve">Målföretag och tillgångar väljs först efter en noggrann konsekvensanalys, både under uppköp av verksamheter och </w:t>
      </w:r>
      <w:proofErr w:type="spellStart"/>
      <w:r>
        <w:rPr>
          <w:sz w:val="22"/>
          <w:lang w:val="sv-SE" w:bidi="sv-SE"/>
        </w:rPr>
        <w:t>due</w:t>
      </w:r>
      <w:proofErr w:type="spellEnd"/>
      <w:r>
        <w:rPr>
          <w:sz w:val="22"/>
          <w:lang w:val="sv-SE" w:bidi="sv-SE"/>
        </w:rPr>
        <w:t xml:space="preserve"> </w:t>
      </w:r>
      <w:proofErr w:type="spellStart"/>
      <w:r>
        <w:rPr>
          <w:sz w:val="22"/>
          <w:lang w:val="sv-SE" w:bidi="sv-SE"/>
        </w:rPr>
        <w:t>diligence</w:t>
      </w:r>
      <w:proofErr w:type="spellEnd"/>
      <w:r>
        <w:rPr>
          <w:sz w:val="22"/>
          <w:lang w:val="sv-SE" w:bidi="sv-SE"/>
        </w:rPr>
        <w:t xml:space="preserve"> för deras potential att generera positiv SDG-relevant miljömässig och social påverkan.</w:t>
      </w:r>
    </w:p>
    <w:p w14:paraId="6B04EA84" w14:textId="77777777" w:rsidR="00C97973" w:rsidRDefault="00C97973" w:rsidP="00C97973">
      <w:pPr>
        <w:pStyle w:val="ListParagraph"/>
        <w:spacing w:after="0" w:line="276" w:lineRule="auto"/>
        <w:ind w:left="0"/>
        <w:jc w:val="both"/>
        <w:rPr>
          <w:sz w:val="22"/>
          <w:szCs w:val="22"/>
          <w:lang w:val="sv-SE"/>
        </w:rPr>
      </w:pPr>
    </w:p>
    <w:p w14:paraId="36A5B421" w14:textId="77777777" w:rsidR="00C97973" w:rsidRDefault="00C97973" w:rsidP="00C97973">
      <w:pPr>
        <w:pStyle w:val="ListParagraph"/>
        <w:spacing w:after="0" w:line="276" w:lineRule="auto"/>
        <w:ind w:left="0"/>
        <w:jc w:val="both"/>
        <w:rPr>
          <w:sz w:val="22"/>
          <w:szCs w:val="22"/>
          <w:lang w:val="sv-SE"/>
        </w:rPr>
      </w:pPr>
      <w:r>
        <w:rPr>
          <w:sz w:val="22"/>
          <w:lang w:val="sv-SE" w:bidi="sv-SE"/>
        </w:rPr>
        <w:t>Fonden följer en aktiv investeringsförvaltningsstrategi och investerar inte med hänvisning till något index och har inte för avsikt att göra det.</w:t>
      </w:r>
    </w:p>
    <w:p w14:paraId="0DFC184E" w14:textId="77777777" w:rsidR="00C97973" w:rsidRDefault="00C97973" w:rsidP="00C97973">
      <w:pPr>
        <w:spacing w:after="0"/>
        <w:rPr>
          <w:sz w:val="22"/>
          <w:szCs w:val="22"/>
          <w:lang w:val="sv-SE"/>
        </w:rPr>
      </w:pPr>
    </w:p>
    <w:p w14:paraId="1B3D124C" w14:textId="77777777" w:rsidR="00C97973" w:rsidRPr="002E72A4" w:rsidRDefault="00C97973" w:rsidP="00C97973">
      <w:pPr>
        <w:spacing w:after="0"/>
        <w:rPr>
          <w:rFonts w:ascii="Arial" w:hAnsi="Arial" w:cs="Arial"/>
          <w:sz w:val="20"/>
          <w:szCs w:val="20"/>
          <w:lang w:val="sv-SE"/>
        </w:rPr>
      </w:pPr>
    </w:p>
    <w:p w14:paraId="3FB07540" w14:textId="77777777" w:rsidR="000B033F" w:rsidRPr="00C97973" w:rsidRDefault="000B033F" w:rsidP="00A6733C">
      <w:pPr>
        <w:pStyle w:val="ListParagraph"/>
        <w:spacing w:after="0" w:line="276" w:lineRule="auto"/>
        <w:ind w:left="0"/>
        <w:jc w:val="both"/>
        <w:rPr>
          <w:lang w:val="sv-SE"/>
        </w:rPr>
      </w:pPr>
    </w:p>
    <w:sectPr w:rsidR="000B033F" w:rsidRPr="00C97973" w:rsidSect="00FD70CB">
      <w:footerReference w:type="default" r:id="rId9"/>
      <w:footerReference w:type="first" r:id="rId10"/>
      <w:pgSz w:w="11906" w:h="16838" w:code="9"/>
      <w:pgMar w:top="1843" w:right="1134" w:bottom="1276" w:left="1701" w:header="1134" w:footer="595" w:gutter="0"/>
      <w:cols w:space="567"/>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6B884" w14:textId="77777777" w:rsidR="00621336" w:rsidRDefault="00621336">
      <w:r>
        <w:separator/>
      </w:r>
    </w:p>
    <w:p w14:paraId="7D2182A1" w14:textId="77777777" w:rsidR="00621336" w:rsidRDefault="00621336"/>
  </w:endnote>
  <w:endnote w:type="continuationSeparator" w:id="0">
    <w:p w14:paraId="75F1DB5B" w14:textId="77777777" w:rsidR="00621336" w:rsidRDefault="00621336">
      <w:r>
        <w:continuationSeparator/>
      </w:r>
    </w:p>
    <w:p w14:paraId="5A792C7D" w14:textId="77777777" w:rsidR="00621336" w:rsidRDefault="00621336"/>
  </w:endnote>
  <w:endnote w:type="continuationNotice" w:id="1">
    <w:p w14:paraId="7CED60A3" w14:textId="77777777" w:rsidR="00621336" w:rsidRDefault="006213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302020204030203"/>
    <w:charset w:val="00"/>
    <w:family w:val="swiss"/>
    <w:pitch w:val="variable"/>
    <w:sig w:usb0="E10002FF" w:usb1="5000ECFF" w:usb2="00000021" w:usb3="00000000" w:csb0="0000019F" w:csb1="00000000"/>
    <w:embedRegular r:id="rId1" w:fontKey="{70BB6B2D-29F0-4E6E-B511-B4FA524D7783}"/>
    <w:embedBold r:id="rId2" w:fontKey="{0F0E567C-72AA-4105-A1F0-0AF4791DF167}"/>
    <w:embedItalic r:id="rId3" w:fontKey="{45C1BB58-1594-4487-A715-E1FF31685350}"/>
  </w:font>
  <w:font w:name="Lato">
    <w:panose1 w:val="020F0502020204030203"/>
    <w:charset w:val="00"/>
    <w:family w:val="swiss"/>
    <w:pitch w:val="variable"/>
    <w:sig w:usb0="A00000AF" w:usb1="5000604B" w:usb2="00000000" w:usb3="00000000" w:csb0="00000093" w:csb1="00000000"/>
    <w:embedRegular r:id="rId4" w:fontKey="{DF88146C-3F55-4368-B3B2-7364FBEF216C}"/>
    <w:embedBold r:id="rId5" w:fontKey="{7FC3B15A-1420-43FD-B576-4E292F92F6B1}"/>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69C7285C-910D-44F4-BAB2-696433F06930}"/>
    <w:embedBold r:id="rId7" w:fontKey="{B32F19FC-4A91-4B06-95E4-4AF6D342D47D}"/>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2E049600-11B3-4BB0-91EA-DD7F93556DD7}"/>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Lato-Light">
    <w:panose1 w:val="00000000000000000000"/>
    <w:charset w:val="00"/>
    <w:family w:val="auto"/>
    <w:notTrueType/>
    <w:pitch w:val="default"/>
    <w:sig w:usb0="00000003" w:usb1="00000000" w:usb2="00000000" w:usb3="00000000" w:csb0="00000001" w:csb1="00000000"/>
  </w:font>
  <w:font w:name="Credit Suisse Type Roman">
    <w:altName w:val="Trebuchet MS"/>
    <w:charset w:val="00"/>
    <w:family w:val="swiss"/>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C277" w14:textId="5ECD33DD"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88A6" w14:textId="3E050772"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1</w:t>
    </w:r>
    <w:r>
      <w:rPr>
        <w:noProof/>
      </w:rPr>
      <w:fldChar w:fldCharType="end"/>
    </w:r>
  </w:p>
  <w:p w14:paraId="7C547233" w14:textId="77777777" w:rsidR="00C64D86" w:rsidRDefault="00C64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9A1F9" w14:textId="77777777" w:rsidR="00621336" w:rsidRDefault="00621336">
      <w:r>
        <w:separator/>
      </w:r>
    </w:p>
  </w:footnote>
  <w:footnote w:type="continuationSeparator" w:id="0">
    <w:p w14:paraId="6073E039" w14:textId="77777777" w:rsidR="00621336" w:rsidRDefault="00621336">
      <w:r>
        <w:continuationSeparator/>
      </w:r>
    </w:p>
    <w:p w14:paraId="586DD88D" w14:textId="77777777" w:rsidR="00621336" w:rsidRDefault="00621336"/>
  </w:footnote>
  <w:footnote w:type="continuationNotice" w:id="1">
    <w:p w14:paraId="3203AB9B" w14:textId="77777777" w:rsidR="00621336" w:rsidRDefault="00621336">
      <w:pPr>
        <w:spacing w:after="0" w:line="240" w:lineRule="auto"/>
      </w:pPr>
    </w:p>
  </w:footnote>
  <w:footnote w:id="2">
    <w:p w14:paraId="3A6C269F" w14:textId="0A800989" w:rsidR="001178F9" w:rsidRPr="001178F9" w:rsidRDefault="001178F9" w:rsidP="001178F9">
      <w:pPr>
        <w:pStyle w:val="FootnoteText"/>
        <w:jc w:val="both"/>
        <w:rPr>
          <w:lang w:val="en-GB"/>
        </w:rPr>
      </w:pPr>
      <w:r>
        <w:rPr>
          <w:rStyle w:val="FootnoteReference"/>
        </w:rPr>
        <w:footnoteRef/>
      </w:r>
      <w:r>
        <w:tab/>
      </w:r>
      <w:r w:rsidRPr="001178F9">
        <w:t>Sustainability risks (“</w:t>
      </w:r>
      <w:r w:rsidRPr="00681F53">
        <w:rPr>
          <w:b/>
          <w:bCs/>
        </w:rPr>
        <w:t>Sustainability Risks</w:t>
      </w:r>
      <w:r w:rsidRPr="001178F9">
        <w:t>”) are environmental, social or governance events or conditions that, if they occur, could cause an actual or a potential material negative impact on the value of the Fund’s portfolio and the returns of the Fund. Environmental risk factors could be (without limitation) events like earthquakes, climate change, flood risk or other environment-related factors. Social risk factors could be circumstances like social unrest, changes to social or labor laws or other social factors, and governance risks could be factors like bribery and corruption, compliance risks or similar. Sustainability Risks that could occur and which might potentially affect the performance of the Fund may vary from one Investment to another and no exhaustive list can be given, and these risks will also vary from time to 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C8C0BA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22878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25BBB"/>
    <w:multiLevelType w:val="multilevel"/>
    <w:tmpl w:val="FC200182"/>
    <w:styleLink w:val="BULLETS"/>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Symbol" w:hAnsi="Symbol"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
      <w:lvlJc w:val="left"/>
      <w:pPr>
        <w:tabs>
          <w:tab w:val="num" w:pos="2856"/>
        </w:tabs>
        <w:ind w:left="2856" w:hanging="357"/>
      </w:pPr>
      <w:rPr>
        <w:rFonts w:ascii="Symbol" w:hAnsi="Symbol" w:hint="default"/>
      </w:rPr>
    </w:lvl>
    <w:lvl w:ilvl="8">
      <w:start w:val="1"/>
      <w:numFmt w:val="bullet"/>
      <w:lvlText w:val=""/>
      <w:lvlJc w:val="left"/>
      <w:pPr>
        <w:tabs>
          <w:tab w:val="num" w:pos="3213"/>
        </w:tabs>
        <w:ind w:left="3213" w:hanging="357"/>
      </w:pPr>
      <w:rPr>
        <w:rFonts w:ascii="Symbol" w:hAnsi="Symbol" w:hint="default"/>
      </w:rPr>
    </w:lvl>
  </w:abstractNum>
  <w:abstractNum w:abstractNumId="3" w15:restartNumberingAfterBreak="0">
    <w:nsid w:val="07E03F21"/>
    <w:multiLevelType w:val="hybridMultilevel"/>
    <w:tmpl w:val="15F8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0479D"/>
    <w:multiLevelType w:val="hybridMultilevel"/>
    <w:tmpl w:val="2E50F780"/>
    <w:lvl w:ilvl="0" w:tplc="93BAD6D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B6F79"/>
    <w:multiLevelType w:val="hybridMultilevel"/>
    <w:tmpl w:val="E122737E"/>
    <w:lvl w:ilvl="0" w:tplc="2A86C2F8">
      <w:start w:val="1"/>
      <w:numFmt w:val="decimal"/>
      <w:lvlText w:val="%1."/>
      <w:lvlJc w:val="left"/>
      <w:pPr>
        <w:ind w:left="2771" w:hanging="360"/>
      </w:pPr>
      <w:rPr>
        <w:rFonts w:ascii="Lato Light" w:hAnsi="Lato Light" w:hint="default"/>
        <w:sz w:val="22"/>
        <w:szCs w:val="22"/>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6" w15:restartNumberingAfterBreak="0">
    <w:nsid w:val="10F008BF"/>
    <w:multiLevelType w:val="hybridMultilevel"/>
    <w:tmpl w:val="39283B4E"/>
    <w:lvl w:ilvl="0" w:tplc="21AAE538">
      <w:start w:val="9"/>
      <w:numFmt w:val="lowerLetter"/>
      <w:lvlText w:val="%1."/>
      <w:lvlJc w:val="left"/>
      <w:pPr>
        <w:ind w:left="2166" w:hanging="465"/>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7" w15:restartNumberingAfterBreak="0">
    <w:nsid w:val="14012FDB"/>
    <w:multiLevelType w:val="hybridMultilevel"/>
    <w:tmpl w:val="D678396A"/>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8" w15:restartNumberingAfterBreak="0">
    <w:nsid w:val="165B4B5B"/>
    <w:multiLevelType w:val="hybridMultilevel"/>
    <w:tmpl w:val="77E29A2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9" w15:restartNumberingAfterBreak="0">
    <w:nsid w:val="1D033818"/>
    <w:multiLevelType w:val="multilevel"/>
    <w:tmpl w:val="EED62DBA"/>
    <w:styleLink w:val="ListNumbers"/>
    <w:lvl w:ilvl="0">
      <w:start w:val="1"/>
      <w:numFmt w:val="decimal"/>
      <w:lvlText w:val="%1."/>
      <w:lvlJc w:val="left"/>
      <w:pPr>
        <w:tabs>
          <w:tab w:val="num" w:pos="284"/>
        </w:tabs>
        <w:ind w:left="284" w:hanging="284"/>
      </w:pPr>
      <w:rPr>
        <w:rFonts w:hint="default"/>
        <w:b w:val="0"/>
        <w:i w:val="0"/>
      </w:rPr>
    </w:lvl>
    <w:lvl w:ilvl="1">
      <w:start w:val="1"/>
      <w:numFmt w:val="lowerLetter"/>
      <w:lvlText w:val="(%2)"/>
      <w:lvlJc w:val="left"/>
      <w:pPr>
        <w:tabs>
          <w:tab w:val="num" w:pos="567"/>
        </w:tabs>
        <w:ind w:left="568" w:hanging="284"/>
      </w:pPr>
      <w:rPr>
        <w:rFonts w:hint="default"/>
        <w:b w:val="0"/>
        <w:i w:val="0"/>
      </w:rPr>
    </w:lvl>
    <w:lvl w:ilvl="2">
      <w:start w:val="1"/>
      <w:numFmt w:val="lowerRoman"/>
      <w:lvlText w:val="(%3)"/>
      <w:lvlJc w:val="left"/>
      <w:pPr>
        <w:tabs>
          <w:tab w:val="num" w:pos="851"/>
        </w:tabs>
        <w:ind w:left="852" w:hanging="284"/>
      </w:pPr>
      <w:rPr>
        <w:rFonts w:hint="default"/>
        <w:b w:val="0"/>
        <w:i w:val="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204E769A"/>
    <w:multiLevelType w:val="hybridMultilevel"/>
    <w:tmpl w:val="A9B627F8"/>
    <w:lvl w:ilvl="0" w:tplc="1CE60BE2">
      <w:start w:val="1"/>
      <w:numFmt w:val="lowerRoman"/>
      <w:lvlText w:val="(%1)"/>
      <w:lvlJc w:val="left"/>
      <w:pPr>
        <w:ind w:left="360" w:hanging="360"/>
      </w:pPr>
      <w:rPr>
        <w:rFonts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690CD4"/>
    <w:multiLevelType w:val="multilevel"/>
    <w:tmpl w:val="DD54A106"/>
    <w:styleLink w:val="Bullets0"/>
    <w:lvl w:ilvl="0">
      <w:start w:val="1"/>
      <w:numFmt w:val="bullet"/>
      <w:lvlText w:val=""/>
      <w:lvlJc w:val="left"/>
      <w:pPr>
        <w:ind w:left="227" w:hanging="227"/>
      </w:pPr>
      <w:rPr>
        <w:rFonts w:ascii="Symbol" w:hAnsi="Symbol" w:hint="default"/>
        <w:color w:val="000000" w:themeColor="text2"/>
        <w:sz w:val="20"/>
      </w:rPr>
    </w:lvl>
    <w:lvl w:ilvl="1">
      <w:start w:val="1"/>
      <w:numFmt w:val="bullet"/>
      <w:lvlText w:val=""/>
      <w:lvlJc w:val="left"/>
      <w:pPr>
        <w:ind w:left="454" w:hanging="227"/>
      </w:pPr>
      <w:rPr>
        <w:rFonts w:ascii="Symbol" w:hAnsi="Symbol" w:hint="default"/>
        <w:color w:val="000000" w:themeColor="text2"/>
      </w:rPr>
    </w:lvl>
    <w:lvl w:ilvl="2">
      <w:start w:val="1"/>
      <w:numFmt w:val="bullet"/>
      <w:lvlText w:val=""/>
      <w:lvlJc w:val="left"/>
      <w:pPr>
        <w:ind w:left="680" w:hanging="226"/>
      </w:pPr>
      <w:rPr>
        <w:rFonts w:ascii="Symbol" w:hAnsi="Symbol" w:hint="default"/>
        <w:color w:val="000000" w:themeColor="text2"/>
      </w:rPr>
    </w:lvl>
    <w:lvl w:ilvl="3">
      <w:start w:val="1"/>
      <w:numFmt w:val="bullet"/>
      <w:lvlText w:val=""/>
      <w:lvlJc w:val="left"/>
      <w:pPr>
        <w:tabs>
          <w:tab w:val="num" w:pos="1134"/>
        </w:tabs>
        <w:ind w:left="907" w:hanging="227"/>
      </w:pPr>
      <w:rPr>
        <w:rFonts w:ascii="Symbol" w:hAnsi="Symbol" w:hint="default"/>
        <w:color w:val="000000" w:themeColor="text2"/>
      </w:rPr>
    </w:lvl>
    <w:lvl w:ilvl="4">
      <w:start w:val="1"/>
      <w:numFmt w:val="none"/>
      <w:lvlText w:val=""/>
      <w:lvlJc w:val="left"/>
      <w:pPr>
        <w:tabs>
          <w:tab w:val="num" w:pos="1418"/>
        </w:tabs>
        <w:ind w:left="1420" w:hanging="284"/>
      </w:pPr>
      <w:rPr>
        <w:rFonts w:hint="default"/>
        <w:color w:val="000000" w:themeColor="text2"/>
      </w:rPr>
    </w:lvl>
    <w:lvl w:ilvl="5">
      <w:start w:val="1"/>
      <w:numFmt w:val="none"/>
      <w:lvlText w:val=""/>
      <w:lvlJc w:val="left"/>
      <w:pPr>
        <w:tabs>
          <w:tab w:val="num" w:pos="1707"/>
        </w:tabs>
        <w:ind w:left="1704" w:hanging="284"/>
      </w:pPr>
      <w:rPr>
        <w:rFonts w:hint="default"/>
        <w:color w:val="000000" w:themeColor="text2"/>
      </w:rPr>
    </w:lvl>
    <w:lvl w:ilvl="6">
      <w:start w:val="1"/>
      <w:numFmt w:val="none"/>
      <w:lvlText w:val=""/>
      <w:lvlJc w:val="left"/>
      <w:pPr>
        <w:tabs>
          <w:tab w:val="num" w:pos="1990"/>
        </w:tabs>
        <w:ind w:left="1988" w:hanging="284"/>
      </w:pPr>
      <w:rPr>
        <w:rFonts w:hint="default"/>
        <w:color w:val="000000" w:themeColor="text2"/>
      </w:rPr>
    </w:lvl>
    <w:lvl w:ilvl="7">
      <w:start w:val="1"/>
      <w:numFmt w:val="none"/>
      <w:lvlText w:val=""/>
      <w:lvlJc w:val="left"/>
      <w:pPr>
        <w:tabs>
          <w:tab w:val="num" w:pos="2274"/>
        </w:tabs>
        <w:ind w:left="2272" w:hanging="284"/>
      </w:pPr>
      <w:rPr>
        <w:rFonts w:hint="default"/>
        <w:color w:val="000000" w:themeColor="text2"/>
      </w:rPr>
    </w:lvl>
    <w:lvl w:ilvl="8">
      <w:start w:val="1"/>
      <w:numFmt w:val="none"/>
      <w:lvlText w:val=""/>
      <w:lvlJc w:val="left"/>
      <w:pPr>
        <w:tabs>
          <w:tab w:val="num" w:pos="2557"/>
        </w:tabs>
        <w:ind w:left="2556" w:hanging="284"/>
      </w:pPr>
      <w:rPr>
        <w:rFonts w:hint="default"/>
        <w:color w:val="000000" w:themeColor="text2"/>
      </w:rPr>
    </w:lvl>
  </w:abstractNum>
  <w:abstractNum w:abstractNumId="12" w15:restartNumberingAfterBreak="0">
    <w:nsid w:val="21F86640"/>
    <w:multiLevelType w:val="multilevel"/>
    <w:tmpl w:val="09AC8576"/>
    <w:lvl w:ilvl="0">
      <w:start w:val="1"/>
      <w:numFmt w:val="decimal"/>
      <w:lvlText w:val="%1."/>
      <w:lvlJc w:val="left"/>
      <w:pPr>
        <w:ind w:left="360" w:hanging="360"/>
      </w:pPr>
      <w:rPr>
        <w:b/>
      </w:rPr>
    </w:lvl>
    <w:lvl w:ilvl="1">
      <w:start w:val="1"/>
      <w:numFmt w:val="decimal"/>
      <w:lvlText w:val="%1.%2."/>
      <w:lvlJc w:val="left"/>
      <w:pPr>
        <w:ind w:left="432" w:hanging="432"/>
      </w:pPr>
      <w:rPr>
        <w:b/>
        <w:sz w:val="20"/>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9C3480"/>
    <w:multiLevelType w:val="hybridMultilevel"/>
    <w:tmpl w:val="99C21616"/>
    <w:lvl w:ilvl="0" w:tplc="10BC6C8E">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2DB369B7"/>
    <w:multiLevelType w:val="hybridMultilevel"/>
    <w:tmpl w:val="BFFA8AEA"/>
    <w:lvl w:ilvl="0" w:tplc="0809000F">
      <w:start w:val="1"/>
      <w:numFmt w:val="decimal"/>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15:restartNumberingAfterBreak="0">
    <w:nsid w:val="31457076"/>
    <w:multiLevelType w:val="hybridMultilevel"/>
    <w:tmpl w:val="30D02114"/>
    <w:lvl w:ilvl="0" w:tplc="894CCD7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6" w15:restartNumberingAfterBreak="0">
    <w:nsid w:val="3161124C"/>
    <w:multiLevelType w:val="hybridMultilevel"/>
    <w:tmpl w:val="37BC80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A21B81"/>
    <w:multiLevelType w:val="hybridMultilevel"/>
    <w:tmpl w:val="9C34EAA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33BC7AAC"/>
    <w:multiLevelType w:val="multilevel"/>
    <w:tmpl w:val="F808E6B8"/>
    <w:styleLink w:val="NumberedHeadings"/>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i w:val="0"/>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737"/>
        </w:tabs>
        <w:ind w:left="737" w:hanging="737"/>
      </w:pPr>
      <w:rPr>
        <w:rFonts w:hint="default"/>
      </w:rPr>
    </w:lvl>
    <w:lvl w:ilvl="4">
      <w:start w:val="1"/>
      <w:numFmt w:val="none"/>
      <w:lvlText w:val=""/>
      <w:lvlJc w:val="left"/>
      <w:pPr>
        <w:tabs>
          <w:tab w:val="num" w:pos="567"/>
        </w:tabs>
        <w:ind w:left="737" w:hanging="737"/>
      </w:pPr>
      <w:rPr>
        <w:rFonts w:hint="default"/>
      </w:rPr>
    </w:lvl>
    <w:lvl w:ilvl="5">
      <w:start w:val="1"/>
      <w:numFmt w:val="none"/>
      <w:lvlText w:val=""/>
      <w:lvlJc w:val="left"/>
      <w:pPr>
        <w:tabs>
          <w:tab w:val="num" w:pos="567"/>
        </w:tabs>
        <w:ind w:left="737" w:hanging="737"/>
      </w:pPr>
      <w:rPr>
        <w:rFonts w:hint="default"/>
      </w:rPr>
    </w:lvl>
    <w:lvl w:ilvl="6">
      <w:start w:val="1"/>
      <w:numFmt w:val="none"/>
      <w:lvlText w:val=""/>
      <w:lvlJc w:val="left"/>
      <w:pPr>
        <w:tabs>
          <w:tab w:val="num" w:pos="567"/>
        </w:tabs>
        <w:ind w:left="737" w:hanging="737"/>
      </w:pPr>
      <w:rPr>
        <w:rFonts w:hint="default"/>
      </w:rPr>
    </w:lvl>
    <w:lvl w:ilvl="7">
      <w:start w:val="1"/>
      <w:numFmt w:val="none"/>
      <w:lvlText w:val=""/>
      <w:lvlJc w:val="left"/>
      <w:pPr>
        <w:tabs>
          <w:tab w:val="num" w:pos="567"/>
        </w:tabs>
        <w:ind w:left="737" w:hanging="737"/>
      </w:pPr>
      <w:rPr>
        <w:rFonts w:hint="default"/>
      </w:rPr>
    </w:lvl>
    <w:lvl w:ilvl="8">
      <w:start w:val="1"/>
      <w:numFmt w:val="none"/>
      <w:lvlText w:val=""/>
      <w:lvlJc w:val="left"/>
      <w:pPr>
        <w:tabs>
          <w:tab w:val="num" w:pos="567"/>
        </w:tabs>
        <w:ind w:left="737" w:hanging="737"/>
      </w:pPr>
      <w:rPr>
        <w:rFonts w:hint="default"/>
      </w:rPr>
    </w:lvl>
  </w:abstractNum>
  <w:abstractNum w:abstractNumId="19" w15:restartNumberingAfterBreak="0">
    <w:nsid w:val="366B6A75"/>
    <w:multiLevelType w:val="hybridMultilevel"/>
    <w:tmpl w:val="B3F2FB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B266BD5"/>
    <w:multiLevelType w:val="hybridMultilevel"/>
    <w:tmpl w:val="49FCD164"/>
    <w:lvl w:ilvl="0" w:tplc="93BAD6D4">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330896"/>
    <w:multiLevelType w:val="hybridMultilevel"/>
    <w:tmpl w:val="39283B4E"/>
    <w:lvl w:ilvl="0" w:tplc="21AAE538">
      <w:start w:val="9"/>
      <w:numFmt w:val="lowerLetter"/>
      <w:lvlText w:val="%1."/>
      <w:lvlJc w:val="left"/>
      <w:pPr>
        <w:ind w:left="2166" w:hanging="465"/>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2" w15:restartNumberingAfterBreak="0">
    <w:nsid w:val="455063F8"/>
    <w:multiLevelType w:val="hybridMultilevel"/>
    <w:tmpl w:val="D6003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6BC5387"/>
    <w:multiLevelType w:val="hybridMultilevel"/>
    <w:tmpl w:val="527255C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4DEA549C"/>
    <w:multiLevelType w:val="hybridMultilevel"/>
    <w:tmpl w:val="7264C1B8"/>
    <w:lvl w:ilvl="0" w:tplc="88A214A4">
      <w:start w:val="19"/>
      <w:numFmt w:val="bullet"/>
      <w:lvlText w:val="-"/>
      <w:lvlJc w:val="left"/>
      <w:pPr>
        <w:ind w:left="1080" w:hanging="360"/>
      </w:pPr>
      <w:rPr>
        <w:rFonts w:ascii="Lato" w:eastAsia="MS PGothic" w:hAnsi="Lato"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70247E"/>
    <w:multiLevelType w:val="hybridMultilevel"/>
    <w:tmpl w:val="CA9C5D6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6" w15:restartNumberingAfterBreak="0">
    <w:nsid w:val="5DE43A9F"/>
    <w:multiLevelType w:val="hybridMultilevel"/>
    <w:tmpl w:val="312482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8F2608"/>
    <w:multiLevelType w:val="hybridMultilevel"/>
    <w:tmpl w:val="1DAEF638"/>
    <w:lvl w:ilvl="0" w:tplc="1A7EC0E8">
      <w:start w:val="1"/>
      <w:numFmt w:val="decimal"/>
      <w:lvlText w:val="%1."/>
      <w:lvlJc w:val="left"/>
      <w:pPr>
        <w:ind w:left="2781" w:hanging="360"/>
      </w:pPr>
      <w:rPr>
        <w:rFonts w:ascii="Lato Light" w:hAnsi="Lato Light" w:hint="default"/>
        <w:sz w:val="22"/>
      </w:rPr>
    </w:lvl>
    <w:lvl w:ilvl="1" w:tplc="046E0019" w:tentative="1">
      <w:start w:val="1"/>
      <w:numFmt w:val="lowerLetter"/>
      <w:lvlText w:val="%2."/>
      <w:lvlJc w:val="left"/>
      <w:pPr>
        <w:ind w:left="3501" w:hanging="360"/>
      </w:pPr>
    </w:lvl>
    <w:lvl w:ilvl="2" w:tplc="046E001B" w:tentative="1">
      <w:start w:val="1"/>
      <w:numFmt w:val="lowerRoman"/>
      <w:lvlText w:val="%3."/>
      <w:lvlJc w:val="right"/>
      <w:pPr>
        <w:ind w:left="4221" w:hanging="180"/>
      </w:pPr>
    </w:lvl>
    <w:lvl w:ilvl="3" w:tplc="046E000F" w:tentative="1">
      <w:start w:val="1"/>
      <w:numFmt w:val="decimal"/>
      <w:lvlText w:val="%4."/>
      <w:lvlJc w:val="left"/>
      <w:pPr>
        <w:ind w:left="4941" w:hanging="360"/>
      </w:pPr>
    </w:lvl>
    <w:lvl w:ilvl="4" w:tplc="046E0019" w:tentative="1">
      <w:start w:val="1"/>
      <w:numFmt w:val="lowerLetter"/>
      <w:lvlText w:val="%5."/>
      <w:lvlJc w:val="left"/>
      <w:pPr>
        <w:ind w:left="5661" w:hanging="360"/>
      </w:pPr>
    </w:lvl>
    <w:lvl w:ilvl="5" w:tplc="046E001B" w:tentative="1">
      <w:start w:val="1"/>
      <w:numFmt w:val="lowerRoman"/>
      <w:lvlText w:val="%6."/>
      <w:lvlJc w:val="right"/>
      <w:pPr>
        <w:ind w:left="6381" w:hanging="180"/>
      </w:pPr>
    </w:lvl>
    <w:lvl w:ilvl="6" w:tplc="046E000F" w:tentative="1">
      <w:start w:val="1"/>
      <w:numFmt w:val="decimal"/>
      <w:lvlText w:val="%7."/>
      <w:lvlJc w:val="left"/>
      <w:pPr>
        <w:ind w:left="7101" w:hanging="360"/>
      </w:pPr>
    </w:lvl>
    <w:lvl w:ilvl="7" w:tplc="046E0019" w:tentative="1">
      <w:start w:val="1"/>
      <w:numFmt w:val="lowerLetter"/>
      <w:lvlText w:val="%8."/>
      <w:lvlJc w:val="left"/>
      <w:pPr>
        <w:ind w:left="7821" w:hanging="360"/>
      </w:pPr>
    </w:lvl>
    <w:lvl w:ilvl="8" w:tplc="046E001B" w:tentative="1">
      <w:start w:val="1"/>
      <w:numFmt w:val="lowerRoman"/>
      <w:lvlText w:val="%9."/>
      <w:lvlJc w:val="right"/>
      <w:pPr>
        <w:ind w:left="8541" w:hanging="180"/>
      </w:pPr>
    </w:lvl>
  </w:abstractNum>
  <w:abstractNum w:abstractNumId="28" w15:restartNumberingAfterBreak="0">
    <w:nsid w:val="63283A14"/>
    <w:multiLevelType w:val="hybridMultilevel"/>
    <w:tmpl w:val="84DECE38"/>
    <w:lvl w:ilvl="0" w:tplc="71625DD8">
      <w:start w:val="13"/>
      <w:numFmt w:val="upperRoman"/>
      <w:lvlText w:val="%1."/>
      <w:lvlJc w:val="left"/>
      <w:pPr>
        <w:ind w:left="1080" w:hanging="720"/>
      </w:pPr>
      <w:rPr>
        <w:rFonts w:hint="default"/>
        <w:b w:val="0"/>
        <w:bCs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4D46D38"/>
    <w:multiLevelType w:val="hybridMultilevel"/>
    <w:tmpl w:val="914C7C80"/>
    <w:lvl w:ilvl="0" w:tplc="8A7671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69E4226A"/>
    <w:multiLevelType w:val="multilevel"/>
    <w:tmpl w:val="761A617E"/>
    <w:lvl w:ilvl="0">
      <w:start w:val="1"/>
      <w:numFmt w:val="decimal"/>
      <w:lvlText w:val="%1."/>
      <w:lvlJc w:val="left"/>
      <w:pPr>
        <w:tabs>
          <w:tab w:val="num" w:pos="357"/>
        </w:tabs>
        <w:ind w:left="357" w:hanging="357"/>
      </w:pPr>
      <w:rPr>
        <w:rFonts w:hint="default"/>
      </w:rPr>
    </w:lvl>
    <w:lvl w:ilvl="1">
      <w:start w:val="1"/>
      <w:numFmt w:val="decimal"/>
      <w:lvlRestart w:val="0"/>
      <w:lvlText w:val="%2."/>
      <w:lvlJc w:val="left"/>
      <w:pPr>
        <w:tabs>
          <w:tab w:val="num" w:pos="714"/>
        </w:tabs>
        <w:ind w:left="714" w:hanging="357"/>
      </w:pPr>
      <w:rPr>
        <w:rFonts w:hint="default"/>
      </w:rPr>
    </w:lvl>
    <w:lvl w:ilvl="2">
      <w:start w:val="1"/>
      <w:numFmt w:val="decimal"/>
      <w:lvlRestart w:val="0"/>
      <w:lvlText w:val="%3."/>
      <w:lvlJc w:val="left"/>
      <w:pPr>
        <w:tabs>
          <w:tab w:val="num" w:pos="1071"/>
        </w:tabs>
        <w:ind w:left="1071" w:hanging="357"/>
      </w:pPr>
      <w:rPr>
        <w:rFonts w:hint="default"/>
      </w:rPr>
    </w:lvl>
    <w:lvl w:ilvl="3">
      <w:start w:val="1"/>
      <w:numFmt w:val="decimal"/>
      <w:lvlRestart w:val="0"/>
      <w:pStyle w:val="ListNumber4"/>
      <w:lvlText w:val="%4."/>
      <w:lvlJc w:val="left"/>
      <w:pPr>
        <w:tabs>
          <w:tab w:val="num" w:pos="1428"/>
        </w:tabs>
        <w:ind w:left="1428" w:hanging="357"/>
      </w:pPr>
      <w:rPr>
        <w:rFonts w:hint="default"/>
      </w:rPr>
    </w:lvl>
    <w:lvl w:ilvl="4">
      <w:start w:val="1"/>
      <w:numFmt w:val="decimal"/>
      <w:lvlRestart w:val="0"/>
      <w:pStyle w:val="ListNumber5"/>
      <w:lvlText w:val="%5."/>
      <w:lvlJc w:val="left"/>
      <w:pPr>
        <w:tabs>
          <w:tab w:val="num" w:pos="1785"/>
        </w:tabs>
        <w:ind w:left="1785" w:hanging="357"/>
      </w:pPr>
      <w:rPr>
        <w:rFonts w:hint="default"/>
      </w:rPr>
    </w:lvl>
    <w:lvl w:ilvl="5">
      <w:start w:val="1"/>
      <w:numFmt w:val="decimal"/>
      <w:lvlRestart w:val="0"/>
      <w:lvlText w:val="%6."/>
      <w:lvlJc w:val="left"/>
      <w:pPr>
        <w:tabs>
          <w:tab w:val="num" w:pos="2142"/>
        </w:tabs>
        <w:ind w:left="2142" w:hanging="357"/>
      </w:pPr>
      <w:rPr>
        <w:rFonts w:hint="default"/>
      </w:rPr>
    </w:lvl>
    <w:lvl w:ilvl="6">
      <w:start w:val="1"/>
      <w:numFmt w:val="decimal"/>
      <w:lvlRestart w:val="0"/>
      <w:lvlText w:val="%7."/>
      <w:lvlJc w:val="left"/>
      <w:pPr>
        <w:tabs>
          <w:tab w:val="num" w:pos="2499"/>
        </w:tabs>
        <w:ind w:left="2499" w:hanging="357"/>
      </w:pPr>
      <w:rPr>
        <w:rFonts w:hint="default"/>
      </w:rPr>
    </w:lvl>
    <w:lvl w:ilvl="7">
      <w:start w:val="1"/>
      <w:numFmt w:val="decimal"/>
      <w:lvlRestart w:val="0"/>
      <w:lvlText w:val="%8."/>
      <w:lvlJc w:val="left"/>
      <w:pPr>
        <w:tabs>
          <w:tab w:val="num" w:pos="2856"/>
        </w:tabs>
        <w:ind w:left="2856" w:hanging="357"/>
      </w:pPr>
      <w:rPr>
        <w:rFonts w:hint="default"/>
      </w:rPr>
    </w:lvl>
    <w:lvl w:ilvl="8">
      <w:start w:val="1"/>
      <w:numFmt w:val="decimal"/>
      <w:lvlRestart w:val="0"/>
      <w:lvlText w:val="%9."/>
      <w:lvlJc w:val="left"/>
      <w:pPr>
        <w:tabs>
          <w:tab w:val="num" w:pos="3213"/>
        </w:tabs>
        <w:ind w:left="3213" w:hanging="357"/>
      </w:pPr>
      <w:rPr>
        <w:rFonts w:hint="default"/>
      </w:rPr>
    </w:lvl>
  </w:abstractNum>
  <w:abstractNum w:abstractNumId="31" w15:restartNumberingAfterBreak="0">
    <w:nsid w:val="6F7824B8"/>
    <w:multiLevelType w:val="hybridMultilevel"/>
    <w:tmpl w:val="B178F082"/>
    <w:lvl w:ilvl="0" w:tplc="DB780DA8">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221F4D"/>
    <w:multiLevelType w:val="hybridMultilevel"/>
    <w:tmpl w:val="30D02114"/>
    <w:lvl w:ilvl="0" w:tplc="894CCD7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3" w15:restartNumberingAfterBreak="0">
    <w:nsid w:val="74FE7A03"/>
    <w:multiLevelType w:val="hybridMultilevel"/>
    <w:tmpl w:val="152A5DF4"/>
    <w:lvl w:ilvl="0" w:tplc="72AE1C52">
      <w:start w:val="13"/>
      <w:numFmt w:val="upperRoman"/>
      <w:lvlText w:val="%1."/>
      <w:lvlJc w:val="left"/>
      <w:pPr>
        <w:ind w:left="1080" w:hanging="720"/>
      </w:pPr>
      <w:rPr>
        <w:rFonts w:hint="default"/>
        <w:b w:val="0"/>
        <w:bCs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65C0441"/>
    <w:multiLevelType w:val="hybridMultilevel"/>
    <w:tmpl w:val="491AF76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5" w15:restartNumberingAfterBreak="0">
    <w:nsid w:val="771E0ABF"/>
    <w:multiLevelType w:val="hybridMultilevel"/>
    <w:tmpl w:val="1AAA5116"/>
    <w:lvl w:ilvl="0" w:tplc="192E5292">
      <w:start w:val="2"/>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6" w15:restartNumberingAfterBreak="0">
    <w:nsid w:val="79BC7E37"/>
    <w:multiLevelType w:val="hybridMultilevel"/>
    <w:tmpl w:val="A6441396"/>
    <w:lvl w:ilvl="0" w:tplc="AB600FA2">
      <w:start w:val="1"/>
      <w:numFmt w:val="upperRoman"/>
      <w:lvlText w:val="%1."/>
      <w:lvlJc w:val="left"/>
      <w:pPr>
        <w:ind w:left="1080" w:hanging="72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20004A"/>
    <w:multiLevelType w:val="hybridMultilevel"/>
    <w:tmpl w:val="A126C178"/>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8" w15:restartNumberingAfterBreak="0">
    <w:nsid w:val="7A2540C6"/>
    <w:multiLevelType w:val="hybridMultilevel"/>
    <w:tmpl w:val="CA9C5D60"/>
    <w:lvl w:ilvl="0" w:tplc="71E623E8">
      <w:start w:val="1"/>
      <w:numFmt w:val="lowerRoman"/>
      <w:lvlText w:val="(%1)"/>
      <w:lvlJc w:val="left"/>
      <w:pPr>
        <w:ind w:left="2421" w:hanging="72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39" w15:restartNumberingAfterBreak="0">
    <w:nsid w:val="7C022D1F"/>
    <w:multiLevelType w:val="hybridMultilevel"/>
    <w:tmpl w:val="5FCA5D4A"/>
    <w:lvl w:ilvl="0" w:tplc="8A9AB67A">
      <w:start w:val="13"/>
      <w:numFmt w:val="upperRoman"/>
      <w:lvlText w:val="%1."/>
      <w:lvlJc w:val="left"/>
      <w:pPr>
        <w:ind w:left="1080" w:hanging="720"/>
      </w:pPr>
      <w:rPr>
        <w:rFonts w:hint="default"/>
        <w:b w:val="0"/>
        <w:bCs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7CA87AC2"/>
    <w:multiLevelType w:val="hybridMultilevel"/>
    <w:tmpl w:val="350A32A8"/>
    <w:lvl w:ilvl="0" w:tplc="2F145DC8">
      <w:start w:val="2"/>
      <w:numFmt w:val="lowerRoman"/>
      <w:lvlText w:val="%1."/>
      <w:lvlJc w:val="left"/>
      <w:pPr>
        <w:ind w:left="2700" w:hanging="720"/>
      </w:pPr>
      <w:rPr>
        <w:rFonts w:hint="default"/>
      </w:r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41" w15:restartNumberingAfterBreak="0">
    <w:nsid w:val="7F204CE2"/>
    <w:multiLevelType w:val="hybridMultilevel"/>
    <w:tmpl w:val="3E781720"/>
    <w:lvl w:ilvl="0" w:tplc="EC0E833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2"/>
  </w:num>
  <w:num w:numId="3">
    <w:abstractNumId w:val="30"/>
  </w:num>
  <w:num w:numId="4">
    <w:abstractNumId w:val="11"/>
  </w:num>
  <w:num w:numId="5">
    <w:abstractNumId w:val="9"/>
  </w:num>
  <w:num w:numId="6">
    <w:abstractNumId w:val="0"/>
  </w:num>
  <w:num w:numId="7">
    <w:abstractNumId w:val="1"/>
  </w:num>
  <w:num w:numId="8">
    <w:abstractNumId w:val="13"/>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7"/>
  </w:num>
  <w:num w:numId="12">
    <w:abstractNumId w:val="17"/>
  </w:num>
  <w:num w:numId="13">
    <w:abstractNumId w:val="23"/>
  </w:num>
  <w:num w:numId="14">
    <w:abstractNumId w:val="32"/>
  </w:num>
  <w:num w:numId="15">
    <w:abstractNumId w:val="21"/>
  </w:num>
  <w:num w:numId="16">
    <w:abstractNumId w:val="38"/>
  </w:num>
  <w:num w:numId="17">
    <w:abstractNumId w:val="25"/>
  </w:num>
  <w:num w:numId="18">
    <w:abstractNumId w:val="7"/>
  </w:num>
  <w:num w:numId="19">
    <w:abstractNumId w:val="8"/>
  </w:num>
  <w:num w:numId="20">
    <w:abstractNumId w:val="34"/>
  </w:num>
  <w:num w:numId="21">
    <w:abstractNumId w:val="22"/>
  </w:num>
  <w:num w:numId="22">
    <w:abstractNumId w:val="6"/>
  </w:num>
  <w:num w:numId="23">
    <w:abstractNumId w:val="35"/>
  </w:num>
  <w:num w:numId="24">
    <w:abstractNumId w:val="40"/>
  </w:num>
  <w:num w:numId="25">
    <w:abstractNumId w:val="15"/>
  </w:num>
  <w:num w:numId="26">
    <w:abstractNumId w:val="36"/>
  </w:num>
  <w:num w:numId="27">
    <w:abstractNumId w:val="29"/>
  </w:num>
  <w:num w:numId="28">
    <w:abstractNumId w:val="41"/>
  </w:num>
  <w:num w:numId="29">
    <w:abstractNumId w:val="27"/>
  </w:num>
  <w:num w:numId="30">
    <w:abstractNumId w:val="5"/>
  </w:num>
  <w:num w:numId="31">
    <w:abstractNumId w:val="14"/>
  </w:num>
  <w:num w:numId="32">
    <w:abstractNumId w:val="8"/>
  </w:num>
  <w:num w:numId="33">
    <w:abstractNumId w:val="38"/>
  </w:num>
  <w:num w:numId="34">
    <w:abstractNumId w:val="31"/>
  </w:num>
  <w:num w:numId="35">
    <w:abstractNumId w:val="4"/>
  </w:num>
  <w:num w:numId="36">
    <w:abstractNumId w:val="10"/>
  </w:num>
  <w:num w:numId="37">
    <w:abstractNumId w:val="20"/>
  </w:num>
  <w:num w:numId="38">
    <w:abstractNumId w:val="16"/>
  </w:num>
  <w:num w:numId="39">
    <w:abstractNumId w:val="26"/>
  </w:num>
  <w:num w:numId="40">
    <w:abstractNumId w:val="12"/>
  </w:num>
  <w:num w:numId="41">
    <w:abstractNumId w:val="24"/>
  </w:num>
  <w:num w:numId="42">
    <w:abstractNumId w:val="19"/>
  </w:num>
  <w:num w:numId="43">
    <w:abstractNumId w:val="3"/>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33"/>
  </w:num>
  <w:num w:numId="47">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hideGrammaticalErrors/>
  <w:activeWritingStyle w:appName="MSWord" w:lang="de-CH" w:vendorID="64" w:dllVersion="6" w:nlCheck="1" w:checkStyle="0"/>
  <w:activeWritingStyle w:appName="MSWord" w:lang="en-US" w:vendorID="64" w:dllVersion="6" w:nlCheck="1" w:checkStyle="1"/>
  <w:activeWritingStyle w:appName="MSWord" w:lang="pt-BR" w:vendorID="64" w:dllVersion="6" w:nlCheck="1" w:checkStyle="0"/>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en-SG" w:vendorID="64" w:dllVersion="0" w:nlCheck="1" w:checkStyle="0"/>
  <w:activeWritingStyle w:appName="MSWord" w:lang="de-DE" w:vendorID="64" w:dllVersion="0" w:nlCheck="1" w:checkStyle="0"/>
  <w:activeWritingStyle w:appName="MSWord" w:lang="en-GB" w:vendorID="64" w:dllVersion="6" w:nlCheck="1" w:checkStyle="1"/>
  <w:activeWritingStyle w:appName="MSWord" w:lang="fr-FR" w:vendorID="64" w:dllVersion="0" w:nlCheck="1" w:checkStyle="0"/>
  <w:activeWritingStyle w:appName="MSWord" w:lang="sv-S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edit="forms" w:enforcement="0"/>
  <w:defaultTabStop w:val="720"/>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32635303.1"/>
    <w:docVar w:name="Office" w:val="BaarZug"/>
  </w:docVars>
  <w:rsids>
    <w:rsidRoot w:val="00A8105B"/>
    <w:rsid w:val="00000154"/>
    <w:rsid w:val="0000032F"/>
    <w:rsid w:val="00000FBB"/>
    <w:rsid w:val="00001331"/>
    <w:rsid w:val="000018A7"/>
    <w:rsid w:val="00001B2E"/>
    <w:rsid w:val="00001BBA"/>
    <w:rsid w:val="00002970"/>
    <w:rsid w:val="00002B7C"/>
    <w:rsid w:val="00002D46"/>
    <w:rsid w:val="00002DDC"/>
    <w:rsid w:val="00003282"/>
    <w:rsid w:val="00003914"/>
    <w:rsid w:val="00004F4D"/>
    <w:rsid w:val="00004F51"/>
    <w:rsid w:val="000051C6"/>
    <w:rsid w:val="00005225"/>
    <w:rsid w:val="00005A98"/>
    <w:rsid w:val="0000622C"/>
    <w:rsid w:val="00006984"/>
    <w:rsid w:val="000069E9"/>
    <w:rsid w:val="00006ABC"/>
    <w:rsid w:val="00006CB5"/>
    <w:rsid w:val="00007627"/>
    <w:rsid w:val="00007EB8"/>
    <w:rsid w:val="00010433"/>
    <w:rsid w:val="00010805"/>
    <w:rsid w:val="00010E6D"/>
    <w:rsid w:val="0001156F"/>
    <w:rsid w:val="0001183A"/>
    <w:rsid w:val="0001270B"/>
    <w:rsid w:val="00012A9E"/>
    <w:rsid w:val="0001304C"/>
    <w:rsid w:val="0001328C"/>
    <w:rsid w:val="0001330D"/>
    <w:rsid w:val="000139C6"/>
    <w:rsid w:val="00014214"/>
    <w:rsid w:val="00014F28"/>
    <w:rsid w:val="00014F53"/>
    <w:rsid w:val="00014F54"/>
    <w:rsid w:val="00015C8D"/>
    <w:rsid w:val="00015D17"/>
    <w:rsid w:val="00015F0B"/>
    <w:rsid w:val="00016805"/>
    <w:rsid w:val="0001776A"/>
    <w:rsid w:val="00017B18"/>
    <w:rsid w:val="00020009"/>
    <w:rsid w:val="000202C1"/>
    <w:rsid w:val="000219D2"/>
    <w:rsid w:val="00021D63"/>
    <w:rsid w:val="000229F4"/>
    <w:rsid w:val="00023038"/>
    <w:rsid w:val="000237FB"/>
    <w:rsid w:val="00023851"/>
    <w:rsid w:val="000241A4"/>
    <w:rsid w:val="00025025"/>
    <w:rsid w:val="00025B5D"/>
    <w:rsid w:val="00025FCA"/>
    <w:rsid w:val="000262DD"/>
    <w:rsid w:val="0002665A"/>
    <w:rsid w:val="00026B0A"/>
    <w:rsid w:val="00026B71"/>
    <w:rsid w:val="00026BF7"/>
    <w:rsid w:val="0002712C"/>
    <w:rsid w:val="00027D4C"/>
    <w:rsid w:val="00027D4F"/>
    <w:rsid w:val="00027F00"/>
    <w:rsid w:val="0003021B"/>
    <w:rsid w:val="000311B5"/>
    <w:rsid w:val="00031719"/>
    <w:rsid w:val="000317E4"/>
    <w:rsid w:val="00032938"/>
    <w:rsid w:val="00032C6C"/>
    <w:rsid w:val="00033E22"/>
    <w:rsid w:val="00033F77"/>
    <w:rsid w:val="00034B95"/>
    <w:rsid w:val="000352C7"/>
    <w:rsid w:val="00035559"/>
    <w:rsid w:val="00035FF3"/>
    <w:rsid w:val="000364BC"/>
    <w:rsid w:val="00037E3C"/>
    <w:rsid w:val="0004091D"/>
    <w:rsid w:val="00040FF2"/>
    <w:rsid w:val="00041CA5"/>
    <w:rsid w:val="000422F8"/>
    <w:rsid w:val="000429F9"/>
    <w:rsid w:val="000441E8"/>
    <w:rsid w:val="00044CF9"/>
    <w:rsid w:val="00045428"/>
    <w:rsid w:val="00046E6D"/>
    <w:rsid w:val="00046E75"/>
    <w:rsid w:val="00047CAF"/>
    <w:rsid w:val="0005011B"/>
    <w:rsid w:val="00050950"/>
    <w:rsid w:val="00050D8A"/>
    <w:rsid w:val="000520E2"/>
    <w:rsid w:val="00052545"/>
    <w:rsid w:val="00053225"/>
    <w:rsid w:val="00053CC1"/>
    <w:rsid w:val="00054CCF"/>
    <w:rsid w:val="000553DC"/>
    <w:rsid w:val="000558D8"/>
    <w:rsid w:val="00055B7B"/>
    <w:rsid w:val="00055FF3"/>
    <w:rsid w:val="00056212"/>
    <w:rsid w:val="00056513"/>
    <w:rsid w:val="00056709"/>
    <w:rsid w:val="000575D5"/>
    <w:rsid w:val="00057B35"/>
    <w:rsid w:val="00060190"/>
    <w:rsid w:val="00060855"/>
    <w:rsid w:val="00060FFE"/>
    <w:rsid w:val="00061ADF"/>
    <w:rsid w:val="00062296"/>
    <w:rsid w:val="000622FF"/>
    <w:rsid w:val="0006241B"/>
    <w:rsid w:val="0006360B"/>
    <w:rsid w:val="0006380E"/>
    <w:rsid w:val="00063D2E"/>
    <w:rsid w:val="0006426B"/>
    <w:rsid w:val="00064433"/>
    <w:rsid w:val="000647FD"/>
    <w:rsid w:val="00064A2D"/>
    <w:rsid w:val="00064C6A"/>
    <w:rsid w:val="00064F06"/>
    <w:rsid w:val="000656D9"/>
    <w:rsid w:val="000662BF"/>
    <w:rsid w:val="00066998"/>
    <w:rsid w:val="00066A62"/>
    <w:rsid w:val="00067544"/>
    <w:rsid w:val="0006779F"/>
    <w:rsid w:val="00070D83"/>
    <w:rsid w:val="00071566"/>
    <w:rsid w:val="000715CF"/>
    <w:rsid w:val="00071D6E"/>
    <w:rsid w:val="00071E7C"/>
    <w:rsid w:val="00072092"/>
    <w:rsid w:val="00072D0B"/>
    <w:rsid w:val="00073E34"/>
    <w:rsid w:val="0007481C"/>
    <w:rsid w:val="00075DD6"/>
    <w:rsid w:val="00076626"/>
    <w:rsid w:val="00076BFC"/>
    <w:rsid w:val="000802CA"/>
    <w:rsid w:val="00080CBC"/>
    <w:rsid w:val="00080E2A"/>
    <w:rsid w:val="000811E6"/>
    <w:rsid w:val="00081268"/>
    <w:rsid w:val="00081943"/>
    <w:rsid w:val="000823C4"/>
    <w:rsid w:val="0008265F"/>
    <w:rsid w:val="00082E2B"/>
    <w:rsid w:val="00082F1E"/>
    <w:rsid w:val="00083404"/>
    <w:rsid w:val="00083FC1"/>
    <w:rsid w:val="0008452B"/>
    <w:rsid w:val="000855F3"/>
    <w:rsid w:val="00085946"/>
    <w:rsid w:val="00086B0C"/>
    <w:rsid w:val="00086F9A"/>
    <w:rsid w:val="0008716D"/>
    <w:rsid w:val="00087B5C"/>
    <w:rsid w:val="000901D2"/>
    <w:rsid w:val="00090245"/>
    <w:rsid w:val="0009042C"/>
    <w:rsid w:val="000917A4"/>
    <w:rsid w:val="00091B11"/>
    <w:rsid w:val="0009203D"/>
    <w:rsid w:val="00092449"/>
    <w:rsid w:val="000928F1"/>
    <w:rsid w:val="00092DD6"/>
    <w:rsid w:val="00094241"/>
    <w:rsid w:val="00094543"/>
    <w:rsid w:val="00094980"/>
    <w:rsid w:val="000949ED"/>
    <w:rsid w:val="00096101"/>
    <w:rsid w:val="000A03B1"/>
    <w:rsid w:val="000A0414"/>
    <w:rsid w:val="000A05B8"/>
    <w:rsid w:val="000A128F"/>
    <w:rsid w:val="000A24E3"/>
    <w:rsid w:val="000A284E"/>
    <w:rsid w:val="000A2A57"/>
    <w:rsid w:val="000A304A"/>
    <w:rsid w:val="000A3131"/>
    <w:rsid w:val="000A38E9"/>
    <w:rsid w:val="000A3F5A"/>
    <w:rsid w:val="000A41A5"/>
    <w:rsid w:val="000A481B"/>
    <w:rsid w:val="000A4B1A"/>
    <w:rsid w:val="000A4EEC"/>
    <w:rsid w:val="000A4F2D"/>
    <w:rsid w:val="000A6E53"/>
    <w:rsid w:val="000A6F6A"/>
    <w:rsid w:val="000A757F"/>
    <w:rsid w:val="000B00E0"/>
    <w:rsid w:val="000B033F"/>
    <w:rsid w:val="000B0731"/>
    <w:rsid w:val="000B0F32"/>
    <w:rsid w:val="000B3CB2"/>
    <w:rsid w:val="000B3E54"/>
    <w:rsid w:val="000B4559"/>
    <w:rsid w:val="000B4E6D"/>
    <w:rsid w:val="000B57B6"/>
    <w:rsid w:val="000B58B2"/>
    <w:rsid w:val="000B60AC"/>
    <w:rsid w:val="000B6E96"/>
    <w:rsid w:val="000B7B68"/>
    <w:rsid w:val="000B7F17"/>
    <w:rsid w:val="000C03A3"/>
    <w:rsid w:val="000C0856"/>
    <w:rsid w:val="000C0F04"/>
    <w:rsid w:val="000C14AD"/>
    <w:rsid w:val="000C163A"/>
    <w:rsid w:val="000C1BE2"/>
    <w:rsid w:val="000C284E"/>
    <w:rsid w:val="000C2CA7"/>
    <w:rsid w:val="000C2CC2"/>
    <w:rsid w:val="000C2EB7"/>
    <w:rsid w:val="000C2F6B"/>
    <w:rsid w:val="000C3222"/>
    <w:rsid w:val="000C3489"/>
    <w:rsid w:val="000C4B18"/>
    <w:rsid w:val="000C4B77"/>
    <w:rsid w:val="000C66AF"/>
    <w:rsid w:val="000C6B9E"/>
    <w:rsid w:val="000D03E8"/>
    <w:rsid w:val="000D0468"/>
    <w:rsid w:val="000D0706"/>
    <w:rsid w:val="000D0C26"/>
    <w:rsid w:val="000D1B1C"/>
    <w:rsid w:val="000D2B50"/>
    <w:rsid w:val="000D307D"/>
    <w:rsid w:val="000D35EB"/>
    <w:rsid w:val="000D3822"/>
    <w:rsid w:val="000D3ADF"/>
    <w:rsid w:val="000D4B93"/>
    <w:rsid w:val="000D5A22"/>
    <w:rsid w:val="000D5DA4"/>
    <w:rsid w:val="000D5DD8"/>
    <w:rsid w:val="000D5E4D"/>
    <w:rsid w:val="000D6C3A"/>
    <w:rsid w:val="000D7017"/>
    <w:rsid w:val="000D70FE"/>
    <w:rsid w:val="000D7759"/>
    <w:rsid w:val="000D7773"/>
    <w:rsid w:val="000E057E"/>
    <w:rsid w:val="000E0744"/>
    <w:rsid w:val="000E0E34"/>
    <w:rsid w:val="000E116E"/>
    <w:rsid w:val="000E2407"/>
    <w:rsid w:val="000E3AAB"/>
    <w:rsid w:val="000E3D06"/>
    <w:rsid w:val="000E4471"/>
    <w:rsid w:val="000E45C2"/>
    <w:rsid w:val="000E54E9"/>
    <w:rsid w:val="000E5506"/>
    <w:rsid w:val="000E6617"/>
    <w:rsid w:val="000E698D"/>
    <w:rsid w:val="000E6CEF"/>
    <w:rsid w:val="000E6F1D"/>
    <w:rsid w:val="000E7002"/>
    <w:rsid w:val="000E7825"/>
    <w:rsid w:val="000E790A"/>
    <w:rsid w:val="000F00E5"/>
    <w:rsid w:val="000F024D"/>
    <w:rsid w:val="000F0613"/>
    <w:rsid w:val="000F0F6B"/>
    <w:rsid w:val="000F12DF"/>
    <w:rsid w:val="000F16D7"/>
    <w:rsid w:val="000F2356"/>
    <w:rsid w:val="000F2612"/>
    <w:rsid w:val="000F32B2"/>
    <w:rsid w:val="000F42D9"/>
    <w:rsid w:val="000F4633"/>
    <w:rsid w:val="000F50DF"/>
    <w:rsid w:val="000F591C"/>
    <w:rsid w:val="000F6299"/>
    <w:rsid w:val="000F6769"/>
    <w:rsid w:val="000F73FC"/>
    <w:rsid w:val="000F77A7"/>
    <w:rsid w:val="000F783F"/>
    <w:rsid w:val="000F7945"/>
    <w:rsid w:val="000F7ACF"/>
    <w:rsid w:val="000F7F91"/>
    <w:rsid w:val="00100763"/>
    <w:rsid w:val="00100B87"/>
    <w:rsid w:val="00100C47"/>
    <w:rsid w:val="00100D90"/>
    <w:rsid w:val="001014E6"/>
    <w:rsid w:val="00101A11"/>
    <w:rsid w:val="00101B08"/>
    <w:rsid w:val="001029BE"/>
    <w:rsid w:val="00102C1E"/>
    <w:rsid w:val="00102E6E"/>
    <w:rsid w:val="001030E9"/>
    <w:rsid w:val="0010353A"/>
    <w:rsid w:val="00103763"/>
    <w:rsid w:val="0010378A"/>
    <w:rsid w:val="00103B4D"/>
    <w:rsid w:val="0010531C"/>
    <w:rsid w:val="0010620E"/>
    <w:rsid w:val="0010631C"/>
    <w:rsid w:val="00106C7A"/>
    <w:rsid w:val="001100B6"/>
    <w:rsid w:val="00110F83"/>
    <w:rsid w:val="00111225"/>
    <w:rsid w:val="00111474"/>
    <w:rsid w:val="001119D0"/>
    <w:rsid w:val="00111F22"/>
    <w:rsid w:val="001133E7"/>
    <w:rsid w:val="001135CE"/>
    <w:rsid w:val="00113696"/>
    <w:rsid w:val="00113CA5"/>
    <w:rsid w:val="0011430C"/>
    <w:rsid w:val="00114B90"/>
    <w:rsid w:val="00114D8E"/>
    <w:rsid w:val="001152E1"/>
    <w:rsid w:val="00115AFD"/>
    <w:rsid w:val="00115C93"/>
    <w:rsid w:val="00116125"/>
    <w:rsid w:val="0011659C"/>
    <w:rsid w:val="00116E1E"/>
    <w:rsid w:val="001178F9"/>
    <w:rsid w:val="00117E5A"/>
    <w:rsid w:val="00117FCF"/>
    <w:rsid w:val="0012019A"/>
    <w:rsid w:val="0012122C"/>
    <w:rsid w:val="00121FE3"/>
    <w:rsid w:val="00122352"/>
    <w:rsid w:val="001223C9"/>
    <w:rsid w:val="00122D87"/>
    <w:rsid w:val="00122EC9"/>
    <w:rsid w:val="0012316B"/>
    <w:rsid w:val="001232A8"/>
    <w:rsid w:val="001235B5"/>
    <w:rsid w:val="001239A7"/>
    <w:rsid w:val="00123B17"/>
    <w:rsid w:val="0012403D"/>
    <w:rsid w:val="00124447"/>
    <w:rsid w:val="001247B9"/>
    <w:rsid w:val="001249E3"/>
    <w:rsid w:val="0012524B"/>
    <w:rsid w:val="00125333"/>
    <w:rsid w:val="001254FB"/>
    <w:rsid w:val="00125609"/>
    <w:rsid w:val="00125B37"/>
    <w:rsid w:val="00125EA0"/>
    <w:rsid w:val="00126672"/>
    <w:rsid w:val="00127523"/>
    <w:rsid w:val="001275EB"/>
    <w:rsid w:val="001301D7"/>
    <w:rsid w:val="00130D36"/>
    <w:rsid w:val="00131281"/>
    <w:rsid w:val="0013135D"/>
    <w:rsid w:val="00131BAC"/>
    <w:rsid w:val="00131C00"/>
    <w:rsid w:val="001323DF"/>
    <w:rsid w:val="00132C37"/>
    <w:rsid w:val="00132CC2"/>
    <w:rsid w:val="00132EB2"/>
    <w:rsid w:val="001333E6"/>
    <w:rsid w:val="00133965"/>
    <w:rsid w:val="00133E2A"/>
    <w:rsid w:val="001343D3"/>
    <w:rsid w:val="001365AA"/>
    <w:rsid w:val="0013661B"/>
    <w:rsid w:val="00137574"/>
    <w:rsid w:val="00137951"/>
    <w:rsid w:val="00137D58"/>
    <w:rsid w:val="001401E4"/>
    <w:rsid w:val="00140767"/>
    <w:rsid w:val="00140A0E"/>
    <w:rsid w:val="00141706"/>
    <w:rsid w:val="00141E91"/>
    <w:rsid w:val="00142030"/>
    <w:rsid w:val="00142E45"/>
    <w:rsid w:val="0014380C"/>
    <w:rsid w:val="00143B00"/>
    <w:rsid w:val="00143EC9"/>
    <w:rsid w:val="0014429F"/>
    <w:rsid w:val="0014479D"/>
    <w:rsid w:val="001447EC"/>
    <w:rsid w:val="00144D47"/>
    <w:rsid w:val="001451E7"/>
    <w:rsid w:val="00145220"/>
    <w:rsid w:val="001508CF"/>
    <w:rsid w:val="00151086"/>
    <w:rsid w:val="00151DAD"/>
    <w:rsid w:val="0015236B"/>
    <w:rsid w:val="0015272F"/>
    <w:rsid w:val="001529E6"/>
    <w:rsid w:val="00152F34"/>
    <w:rsid w:val="00152F69"/>
    <w:rsid w:val="0015473B"/>
    <w:rsid w:val="0015506D"/>
    <w:rsid w:val="00155294"/>
    <w:rsid w:val="00155360"/>
    <w:rsid w:val="0015578F"/>
    <w:rsid w:val="00155E6D"/>
    <w:rsid w:val="001560EE"/>
    <w:rsid w:val="001562ED"/>
    <w:rsid w:val="001567BE"/>
    <w:rsid w:val="00157028"/>
    <w:rsid w:val="00157565"/>
    <w:rsid w:val="001600E0"/>
    <w:rsid w:val="0016049C"/>
    <w:rsid w:val="001615F9"/>
    <w:rsid w:val="0016192A"/>
    <w:rsid w:val="00161D5F"/>
    <w:rsid w:val="0016303E"/>
    <w:rsid w:val="0016304F"/>
    <w:rsid w:val="001632C8"/>
    <w:rsid w:val="0016424B"/>
    <w:rsid w:val="0016472C"/>
    <w:rsid w:val="0016499A"/>
    <w:rsid w:val="00164A8C"/>
    <w:rsid w:val="00164AE6"/>
    <w:rsid w:val="001655B4"/>
    <w:rsid w:val="0016584D"/>
    <w:rsid w:val="001669AF"/>
    <w:rsid w:val="001674DB"/>
    <w:rsid w:val="0016781D"/>
    <w:rsid w:val="00167FAE"/>
    <w:rsid w:val="00170522"/>
    <w:rsid w:val="00170BD3"/>
    <w:rsid w:val="001711EF"/>
    <w:rsid w:val="00171DFB"/>
    <w:rsid w:val="001720AD"/>
    <w:rsid w:val="00172289"/>
    <w:rsid w:val="00172931"/>
    <w:rsid w:val="00172F08"/>
    <w:rsid w:val="0017342B"/>
    <w:rsid w:val="001735B0"/>
    <w:rsid w:val="001745CB"/>
    <w:rsid w:val="00174ADF"/>
    <w:rsid w:val="001750CB"/>
    <w:rsid w:val="00177376"/>
    <w:rsid w:val="00177EE4"/>
    <w:rsid w:val="0018183A"/>
    <w:rsid w:val="001818ED"/>
    <w:rsid w:val="00181C02"/>
    <w:rsid w:val="00181CD4"/>
    <w:rsid w:val="00182333"/>
    <w:rsid w:val="0018386D"/>
    <w:rsid w:val="00183CB5"/>
    <w:rsid w:val="0018462B"/>
    <w:rsid w:val="0018494A"/>
    <w:rsid w:val="00184BF0"/>
    <w:rsid w:val="0018501C"/>
    <w:rsid w:val="00185211"/>
    <w:rsid w:val="00185D69"/>
    <w:rsid w:val="00186315"/>
    <w:rsid w:val="0018676F"/>
    <w:rsid w:val="0019011D"/>
    <w:rsid w:val="00190ED7"/>
    <w:rsid w:val="00191033"/>
    <w:rsid w:val="001915AB"/>
    <w:rsid w:val="00191C88"/>
    <w:rsid w:val="00191EAF"/>
    <w:rsid w:val="00191EB9"/>
    <w:rsid w:val="0019257F"/>
    <w:rsid w:val="00192BB8"/>
    <w:rsid w:val="00194702"/>
    <w:rsid w:val="001952ED"/>
    <w:rsid w:val="001955A2"/>
    <w:rsid w:val="00196CE7"/>
    <w:rsid w:val="00196D62"/>
    <w:rsid w:val="001975A9"/>
    <w:rsid w:val="00197CC3"/>
    <w:rsid w:val="001A123A"/>
    <w:rsid w:val="001A224E"/>
    <w:rsid w:val="001A289B"/>
    <w:rsid w:val="001A493A"/>
    <w:rsid w:val="001A4DAE"/>
    <w:rsid w:val="001A50A5"/>
    <w:rsid w:val="001A5A9C"/>
    <w:rsid w:val="001A60C6"/>
    <w:rsid w:val="001A6368"/>
    <w:rsid w:val="001A656E"/>
    <w:rsid w:val="001A6AB8"/>
    <w:rsid w:val="001A6CBF"/>
    <w:rsid w:val="001A6FEF"/>
    <w:rsid w:val="001A77B2"/>
    <w:rsid w:val="001A77D8"/>
    <w:rsid w:val="001A7946"/>
    <w:rsid w:val="001A7F79"/>
    <w:rsid w:val="001B0017"/>
    <w:rsid w:val="001B04E6"/>
    <w:rsid w:val="001B054F"/>
    <w:rsid w:val="001B122A"/>
    <w:rsid w:val="001B1C5F"/>
    <w:rsid w:val="001B1F77"/>
    <w:rsid w:val="001B253C"/>
    <w:rsid w:val="001B28AD"/>
    <w:rsid w:val="001B3550"/>
    <w:rsid w:val="001B35B4"/>
    <w:rsid w:val="001B39CE"/>
    <w:rsid w:val="001B4471"/>
    <w:rsid w:val="001B45E7"/>
    <w:rsid w:val="001B4E6A"/>
    <w:rsid w:val="001B6E64"/>
    <w:rsid w:val="001B6F35"/>
    <w:rsid w:val="001B769C"/>
    <w:rsid w:val="001C1CA9"/>
    <w:rsid w:val="001C2F99"/>
    <w:rsid w:val="001C3065"/>
    <w:rsid w:val="001C392F"/>
    <w:rsid w:val="001C5D83"/>
    <w:rsid w:val="001C5FA1"/>
    <w:rsid w:val="001C6501"/>
    <w:rsid w:val="001C66E3"/>
    <w:rsid w:val="001C674E"/>
    <w:rsid w:val="001C6852"/>
    <w:rsid w:val="001C6C2C"/>
    <w:rsid w:val="001C7857"/>
    <w:rsid w:val="001C79F6"/>
    <w:rsid w:val="001C7AC3"/>
    <w:rsid w:val="001C7D76"/>
    <w:rsid w:val="001D1471"/>
    <w:rsid w:val="001D1B0C"/>
    <w:rsid w:val="001D2038"/>
    <w:rsid w:val="001D21F4"/>
    <w:rsid w:val="001D294B"/>
    <w:rsid w:val="001D2C88"/>
    <w:rsid w:val="001D2CE8"/>
    <w:rsid w:val="001D2EE2"/>
    <w:rsid w:val="001D429E"/>
    <w:rsid w:val="001D4894"/>
    <w:rsid w:val="001D5B0C"/>
    <w:rsid w:val="001D6AAC"/>
    <w:rsid w:val="001D7A04"/>
    <w:rsid w:val="001E0651"/>
    <w:rsid w:val="001E06B4"/>
    <w:rsid w:val="001E0B76"/>
    <w:rsid w:val="001E1F83"/>
    <w:rsid w:val="001E238D"/>
    <w:rsid w:val="001E2E52"/>
    <w:rsid w:val="001E3780"/>
    <w:rsid w:val="001E430E"/>
    <w:rsid w:val="001E5D3F"/>
    <w:rsid w:val="001E6FD1"/>
    <w:rsid w:val="001E7C47"/>
    <w:rsid w:val="001F089C"/>
    <w:rsid w:val="001F0D5F"/>
    <w:rsid w:val="001F1B9D"/>
    <w:rsid w:val="001F1CA5"/>
    <w:rsid w:val="001F2496"/>
    <w:rsid w:val="001F36D2"/>
    <w:rsid w:val="001F39EC"/>
    <w:rsid w:val="001F3EE2"/>
    <w:rsid w:val="001F44F3"/>
    <w:rsid w:val="001F4989"/>
    <w:rsid w:val="001F4ACB"/>
    <w:rsid w:val="001F4D4E"/>
    <w:rsid w:val="001F4F4D"/>
    <w:rsid w:val="001F5864"/>
    <w:rsid w:val="001F5947"/>
    <w:rsid w:val="001F5EB4"/>
    <w:rsid w:val="001F6BB7"/>
    <w:rsid w:val="001F7C89"/>
    <w:rsid w:val="00201040"/>
    <w:rsid w:val="002017C1"/>
    <w:rsid w:val="0020240C"/>
    <w:rsid w:val="002027B7"/>
    <w:rsid w:val="00202955"/>
    <w:rsid w:val="00202F4D"/>
    <w:rsid w:val="002030FF"/>
    <w:rsid w:val="00203354"/>
    <w:rsid w:val="002039C3"/>
    <w:rsid w:val="00206505"/>
    <w:rsid w:val="002068B6"/>
    <w:rsid w:val="00207354"/>
    <w:rsid w:val="00207432"/>
    <w:rsid w:val="00207A4E"/>
    <w:rsid w:val="002110BC"/>
    <w:rsid w:val="00211989"/>
    <w:rsid w:val="002120A0"/>
    <w:rsid w:val="0021237E"/>
    <w:rsid w:val="00212A59"/>
    <w:rsid w:val="00212B26"/>
    <w:rsid w:val="00212BA6"/>
    <w:rsid w:val="00213496"/>
    <w:rsid w:val="00213788"/>
    <w:rsid w:val="002143D9"/>
    <w:rsid w:val="00214CFE"/>
    <w:rsid w:val="00214FFB"/>
    <w:rsid w:val="0021585D"/>
    <w:rsid w:val="00215AFA"/>
    <w:rsid w:val="00215DF1"/>
    <w:rsid w:val="00216EA5"/>
    <w:rsid w:val="00221004"/>
    <w:rsid w:val="00221DFB"/>
    <w:rsid w:val="002223D1"/>
    <w:rsid w:val="00222776"/>
    <w:rsid w:val="002228DD"/>
    <w:rsid w:val="00222FA2"/>
    <w:rsid w:val="0022314E"/>
    <w:rsid w:val="002231A9"/>
    <w:rsid w:val="0022369C"/>
    <w:rsid w:val="002237B8"/>
    <w:rsid w:val="00223921"/>
    <w:rsid w:val="00223947"/>
    <w:rsid w:val="00224392"/>
    <w:rsid w:val="00224548"/>
    <w:rsid w:val="002249D1"/>
    <w:rsid w:val="00225A7D"/>
    <w:rsid w:val="0022607D"/>
    <w:rsid w:val="002260BA"/>
    <w:rsid w:val="002263BB"/>
    <w:rsid w:val="00226A1F"/>
    <w:rsid w:val="00227090"/>
    <w:rsid w:val="00227686"/>
    <w:rsid w:val="00230236"/>
    <w:rsid w:val="00230A43"/>
    <w:rsid w:val="002315E1"/>
    <w:rsid w:val="002316CD"/>
    <w:rsid w:val="00231D91"/>
    <w:rsid w:val="002329D5"/>
    <w:rsid w:val="00234072"/>
    <w:rsid w:val="0023415B"/>
    <w:rsid w:val="002341A9"/>
    <w:rsid w:val="002341F9"/>
    <w:rsid w:val="00234B0B"/>
    <w:rsid w:val="0023534C"/>
    <w:rsid w:val="002356AD"/>
    <w:rsid w:val="00235AD5"/>
    <w:rsid w:val="00235F75"/>
    <w:rsid w:val="00236026"/>
    <w:rsid w:val="002360B2"/>
    <w:rsid w:val="00236CE4"/>
    <w:rsid w:val="00237863"/>
    <w:rsid w:val="00237F63"/>
    <w:rsid w:val="00240473"/>
    <w:rsid w:val="00240EB0"/>
    <w:rsid w:val="00241151"/>
    <w:rsid w:val="00241B80"/>
    <w:rsid w:val="00242279"/>
    <w:rsid w:val="00242A89"/>
    <w:rsid w:val="00243D47"/>
    <w:rsid w:val="002444A7"/>
    <w:rsid w:val="0024547D"/>
    <w:rsid w:val="00245CEE"/>
    <w:rsid w:val="00245E0C"/>
    <w:rsid w:val="00245E26"/>
    <w:rsid w:val="00247405"/>
    <w:rsid w:val="0024760F"/>
    <w:rsid w:val="0025059C"/>
    <w:rsid w:val="0025126E"/>
    <w:rsid w:val="00251BAD"/>
    <w:rsid w:val="00251E06"/>
    <w:rsid w:val="0025288F"/>
    <w:rsid w:val="002529BE"/>
    <w:rsid w:val="00253312"/>
    <w:rsid w:val="002533E4"/>
    <w:rsid w:val="00254380"/>
    <w:rsid w:val="00254C8C"/>
    <w:rsid w:val="0025508E"/>
    <w:rsid w:val="002551AA"/>
    <w:rsid w:val="0025564D"/>
    <w:rsid w:val="00255B6F"/>
    <w:rsid w:val="0025602A"/>
    <w:rsid w:val="00256E84"/>
    <w:rsid w:val="00257170"/>
    <w:rsid w:val="00257ABB"/>
    <w:rsid w:val="00257CB3"/>
    <w:rsid w:val="00257FE5"/>
    <w:rsid w:val="00260286"/>
    <w:rsid w:val="00260546"/>
    <w:rsid w:val="00260E93"/>
    <w:rsid w:val="0026164A"/>
    <w:rsid w:val="00262849"/>
    <w:rsid w:val="00262BAF"/>
    <w:rsid w:val="00262D60"/>
    <w:rsid w:val="00264444"/>
    <w:rsid w:val="002645D2"/>
    <w:rsid w:val="002654DD"/>
    <w:rsid w:val="00265663"/>
    <w:rsid w:val="00265CDD"/>
    <w:rsid w:val="00266747"/>
    <w:rsid w:val="00266830"/>
    <w:rsid w:val="00266D65"/>
    <w:rsid w:val="00266F10"/>
    <w:rsid w:val="00267146"/>
    <w:rsid w:val="00267235"/>
    <w:rsid w:val="00267F96"/>
    <w:rsid w:val="00267FBD"/>
    <w:rsid w:val="0027039F"/>
    <w:rsid w:val="00271ABA"/>
    <w:rsid w:val="00271F27"/>
    <w:rsid w:val="00272196"/>
    <w:rsid w:val="002738FF"/>
    <w:rsid w:val="0027463E"/>
    <w:rsid w:val="0027498D"/>
    <w:rsid w:val="0027560C"/>
    <w:rsid w:val="00275FB2"/>
    <w:rsid w:val="00276256"/>
    <w:rsid w:val="002764BF"/>
    <w:rsid w:val="00276B97"/>
    <w:rsid w:val="00276DD9"/>
    <w:rsid w:val="00277C7A"/>
    <w:rsid w:val="00280465"/>
    <w:rsid w:val="00280FD1"/>
    <w:rsid w:val="00281EF3"/>
    <w:rsid w:val="002820E1"/>
    <w:rsid w:val="0028219D"/>
    <w:rsid w:val="002831C4"/>
    <w:rsid w:val="00283409"/>
    <w:rsid w:val="002838A5"/>
    <w:rsid w:val="00285249"/>
    <w:rsid w:val="00285558"/>
    <w:rsid w:val="00285A82"/>
    <w:rsid w:val="0028671B"/>
    <w:rsid w:val="00286EE1"/>
    <w:rsid w:val="00287663"/>
    <w:rsid w:val="00290780"/>
    <w:rsid w:val="00290A8C"/>
    <w:rsid w:val="002917F0"/>
    <w:rsid w:val="00291D80"/>
    <w:rsid w:val="00291D9D"/>
    <w:rsid w:val="00292CCC"/>
    <w:rsid w:val="00293235"/>
    <w:rsid w:val="00293C35"/>
    <w:rsid w:val="00293F6B"/>
    <w:rsid w:val="00294026"/>
    <w:rsid w:val="00294063"/>
    <w:rsid w:val="00294FFD"/>
    <w:rsid w:val="0029502A"/>
    <w:rsid w:val="00295DAE"/>
    <w:rsid w:val="00295F70"/>
    <w:rsid w:val="00296605"/>
    <w:rsid w:val="00296CD4"/>
    <w:rsid w:val="002976E3"/>
    <w:rsid w:val="00297D68"/>
    <w:rsid w:val="00297E86"/>
    <w:rsid w:val="002A1734"/>
    <w:rsid w:val="002A1D0F"/>
    <w:rsid w:val="002A1E09"/>
    <w:rsid w:val="002A1E9A"/>
    <w:rsid w:val="002A2052"/>
    <w:rsid w:val="002A327D"/>
    <w:rsid w:val="002A357A"/>
    <w:rsid w:val="002A3C9B"/>
    <w:rsid w:val="002A5693"/>
    <w:rsid w:val="002A5B29"/>
    <w:rsid w:val="002A6424"/>
    <w:rsid w:val="002A6F0F"/>
    <w:rsid w:val="002A7D66"/>
    <w:rsid w:val="002B040C"/>
    <w:rsid w:val="002B08EC"/>
    <w:rsid w:val="002B0A1C"/>
    <w:rsid w:val="002B0F4D"/>
    <w:rsid w:val="002B1233"/>
    <w:rsid w:val="002B136E"/>
    <w:rsid w:val="002B144A"/>
    <w:rsid w:val="002B1743"/>
    <w:rsid w:val="002B1A00"/>
    <w:rsid w:val="002B1E22"/>
    <w:rsid w:val="002B2903"/>
    <w:rsid w:val="002B2DA0"/>
    <w:rsid w:val="002B3788"/>
    <w:rsid w:val="002B38E7"/>
    <w:rsid w:val="002B4394"/>
    <w:rsid w:val="002B4ADF"/>
    <w:rsid w:val="002B50DC"/>
    <w:rsid w:val="002B556C"/>
    <w:rsid w:val="002B5732"/>
    <w:rsid w:val="002B5914"/>
    <w:rsid w:val="002B5A15"/>
    <w:rsid w:val="002B5BCB"/>
    <w:rsid w:val="002B5FDB"/>
    <w:rsid w:val="002B66CA"/>
    <w:rsid w:val="002B76E6"/>
    <w:rsid w:val="002B76F3"/>
    <w:rsid w:val="002B784C"/>
    <w:rsid w:val="002B790A"/>
    <w:rsid w:val="002B7A30"/>
    <w:rsid w:val="002C08F7"/>
    <w:rsid w:val="002C0DDA"/>
    <w:rsid w:val="002C19A8"/>
    <w:rsid w:val="002C1CFD"/>
    <w:rsid w:val="002C1E2B"/>
    <w:rsid w:val="002C1FB9"/>
    <w:rsid w:val="002C28B0"/>
    <w:rsid w:val="002C2DAC"/>
    <w:rsid w:val="002C2DFB"/>
    <w:rsid w:val="002C3D9F"/>
    <w:rsid w:val="002C4665"/>
    <w:rsid w:val="002C4A35"/>
    <w:rsid w:val="002C54F9"/>
    <w:rsid w:val="002C5AB8"/>
    <w:rsid w:val="002C6401"/>
    <w:rsid w:val="002C676C"/>
    <w:rsid w:val="002C720F"/>
    <w:rsid w:val="002C7AF7"/>
    <w:rsid w:val="002D0A05"/>
    <w:rsid w:val="002D11CC"/>
    <w:rsid w:val="002D1579"/>
    <w:rsid w:val="002D19EF"/>
    <w:rsid w:val="002D361A"/>
    <w:rsid w:val="002D3629"/>
    <w:rsid w:val="002D3C57"/>
    <w:rsid w:val="002D3E2B"/>
    <w:rsid w:val="002D4D2D"/>
    <w:rsid w:val="002D592A"/>
    <w:rsid w:val="002D60A1"/>
    <w:rsid w:val="002D6326"/>
    <w:rsid w:val="002D6FB3"/>
    <w:rsid w:val="002D7803"/>
    <w:rsid w:val="002D7A58"/>
    <w:rsid w:val="002D7B7F"/>
    <w:rsid w:val="002E0345"/>
    <w:rsid w:val="002E1321"/>
    <w:rsid w:val="002E1489"/>
    <w:rsid w:val="002E1630"/>
    <w:rsid w:val="002E1D23"/>
    <w:rsid w:val="002E1F35"/>
    <w:rsid w:val="002E223D"/>
    <w:rsid w:val="002E2828"/>
    <w:rsid w:val="002E3C6B"/>
    <w:rsid w:val="002E42FE"/>
    <w:rsid w:val="002E4D43"/>
    <w:rsid w:val="002E5057"/>
    <w:rsid w:val="002E5226"/>
    <w:rsid w:val="002E57E2"/>
    <w:rsid w:val="002E613E"/>
    <w:rsid w:val="002E68C6"/>
    <w:rsid w:val="002E6E05"/>
    <w:rsid w:val="002E746E"/>
    <w:rsid w:val="002E7C17"/>
    <w:rsid w:val="002F0227"/>
    <w:rsid w:val="002F0EBB"/>
    <w:rsid w:val="002F1B6E"/>
    <w:rsid w:val="002F220E"/>
    <w:rsid w:val="002F2B52"/>
    <w:rsid w:val="002F51E4"/>
    <w:rsid w:val="002F5418"/>
    <w:rsid w:val="002F5A4E"/>
    <w:rsid w:val="002F6CC5"/>
    <w:rsid w:val="002F7798"/>
    <w:rsid w:val="00300718"/>
    <w:rsid w:val="00300FEC"/>
    <w:rsid w:val="00301856"/>
    <w:rsid w:val="003024FB"/>
    <w:rsid w:val="00304E05"/>
    <w:rsid w:val="00304FC8"/>
    <w:rsid w:val="0030537F"/>
    <w:rsid w:val="00305703"/>
    <w:rsid w:val="003064BE"/>
    <w:rsid w:val="00306ACF"/>
    <w:rsid w:val="0031004B"/>
    <w:rsid w:val="003111CC"/>
    <w:rsid w:val="003113D3"/>
    <w:rsid w:val="00311F2D"/>
    <w:rsid w:val="00312100"/>
    <w:rsid w:val="00312767"/>
    <w:rsid w:val="00312BC0"/>
    <w:rsid w:val="00314C3A"/>
    <w:rsid w:val="00314F2F"/>
    <w:rsid w:val="0031516B"/>
    <w:rsid w:val="00315286"/>
    <w:rsid w:val="00315A3C"/>
    <w:rsid w:val="00315FD9"/>
    <w:rsid w:val="0031610F"/>
    <w:rsid w:val="0031619B"/>
    <w:rsid w:val="003169B0"/>
    <w:rsid w:val="00316BD2"/>
    <w:rsid w:val="00316CB1"/>
    <w:rsid w:val="00316CD2"/>
    <w:rsid w:val="003179BA"/>
    <w:rsid w:val="00317CEF"/>
    <w:rsid w:val="0032008E"/>
    <w:rsid w:val="003202A7"/>
    <w:rsid w:val="003203C8"/>
    <w:rsid w:val="0032103F"/>
    <w:rsid w:val="00322C6C"/>
    <w:rsid w:val="00323100"/>
    <w:rsid w:val="00323946"/>
    <w:rsid w:val="0032452A"/>
    <w:rsid w:val="00324959"/>
    <w:rsid w:val="00324AC3"/>
    <w:rsid w:val="00324F80"/>
    <w:rsid w:val="00325538"/>
    <w:rsid w:val="0032645B"/>
    <w:rsid w:val="0032650A"/>
    <w:rsid w:val="0032741B"/>
    <w:rsid w:val="0032784B"/>
    <w:rsid w:val="00327915"/>
    <w:rsid w:val="00327A51"/>
    <w:rsid w:val="0033048A"/>
    <w:rsid w:val="00330991"/>
    <w:rsid w:val="003309E4"/>
    <w:rsid w:val="00330B7B"/>
    <w:rsid w:val="00330EF3"/>
    <w:rsid w:val="00331723"/>
    <w:rsid w:val="00331D34"/>
    <w:rsid w:val="00332928"/>
    <w:rsid w:val="00332967"/>
    <w:rsid w:val="0033401D"/>
    <w:rsid w:val="00334079"/>
    <w:rsid w:val="003343E1"/>
    <w:rsid w:val="00334640"/>
    <w:rsid w:val="00335538"/>
    <w:rsid w:val="00335D85"/>
    <w:rsid w:val="00335F6B"/>
    <w:rsid w:val="0033618C"/>
    <w:rsid w:val="00336680"/>
    <w:rsid w:val="00336CB3"/>
    <w:rsid w:val="00337232"/>
    <w:rsid w:val="00337B95"/>
    <w:rsid w:val="00340356"/>
    <w:rsid w:val="003404EA"/>
    <w:rsid w:val="00340D1A"/>
    <w:rsid w:val="00341CA1"/>
    <w:rsid w:val="0034278A"/>
    <w:rsid w:val="00342F4F"/>
    <w:rsid w:val="003430FF"/>
    <w:rsid w:val="00343A5C"/>
    <w:rsid w:val="00343E36"/>
    <w:rsid w:val="00343F66"/>
    <w:rsid w:val="003447B1"/>
    <w:rsid w:val="00345C0F"/>
    <w:rsid w:val="00345E5C"/>
    <w:rsid w:val="003462EB"/>
    <w:rsid w:val="00347AE3"/>
    <w:rsid w:val="00347B07"/>
    <w:rsid w:val="00347C58"/>
    <w:rsid w:val="00350216"/>
    <w:rsid w:val="00350520"/>
    <w:rsid w:val="0035161E"/>
    <w:rsid w:val="00351CC3"/>
    <w:rsid w:val="00351E2B"/>
    <w:rsid w:val="00351FAE"/>
    <w:rsid w:val="0035204A"/>
    <w:rsid w:val="003525E9"/>
    <w:rsid w:val="003532E4"/>
    <w:rsid w:val="003539D2"/>
    <w:rsid w:val="00353FD2"/>
    <w:rsid w:val="0035469B"/>
    <w:rsid w:val="00355D6F"/>
    <w:rsid w:val="0035674C"/>
    <w:rsid w:val="003575AD"/>
    <w:rsid w:val="0036012F"/>
    <w:rsid w:val="00360392"/>
    <w:rsid w:val="003604F4"/>
    <w:rsid w:val="00360549"/>
    <w:rsid w:val="00360592"/>
    <w:rsid w:val="00360F4F"/>
    <w:rsid w:val="00361C0D"/>
    <w:rsid w:val="00361DDF"/>
    <w:rsid w:val="00362F8A"/>
    <w:rsid w:val="003635B5"/>
    <w:rsid w:val="003642B1"/>
    <w:rsid w:val="00364C4A"/>
    <w:rsid w:val="00364CAD"/>
    <w:rsid w:val="003662ED"/>
    <w:rsid w:val="00366B77"/>
    <w:rsid w:val="00366B7B"/>
    <w:rsid w:val="00367030"/>
    <w:rsid w:val="00367194"/>
    <w:rsid w:val="003677DF"/>
    <w:rsid w:val="003678EA"/>
    <w:rsid w:val="00367D29"/>
    <w:rsid w:val="00370096"/>
    <w:rsid w:val="00370252"/>
    <w:rsid w:val="00370FEF"/>
    <w:rsid w:val="00371DD7"/>
    <w:rsid w:val="00372133"/>
    <w:rsid w:val="003729A4"/>
    <w:rsid w:val="00372BA4"/>
    <w:rsid w:val="003733AD"/>
    <w:rsid w:val="00373906"/>
    <w:rsid w:val="0037392D"/>
    <w:rsid w:val="00374CA8"/>
    <w:rsid w:val="00375657"/>
    <w:rsid w:val="00375BE9"/>
    <w:rsid w:val="0037625C"/>
    <w:rsid w:val="00376875"/>
    <w:rsid w:val="00376CFA"/>
    <w:rsid w:val="00376D26"/>
    <w:rsid w:val="00377545"/>
    <w:rsid w:val="00377D31"/>
    <w:rsid w:val="00380D17"/>
    <w:rsid w:val="00381419"/>
    <w:rsid w:val="00381F3C"/>
    <w:rsid w:val="00382292"/>
    <w:rsid w:val="003838B3"/>
    <w:rsid w:val="003838B8"/>
    <w:rsid w:val="00384B1C"/>
    <w:rsid w:val="003857AF"/>
    <w:rsid w:val="00385F26"/>
    <w:rsid w:val="0038603B"/>
    <w:rsid w:val="00386386"/>
    <w:rsid w:val="003864D2"/>
    <w:rsid w:val="00387515"/>
    <w:rsid w:val="00387CCC"/>
    <w:rsid w:val="00387EA9"/>
    <w:rsid w:val="00387F6A"/>
    <w:rsid w:val="00390145"/>
    <w:rsid w:val="00390156"/>
    <w:rsid w:val="00390211"/>
    <w:rsid w:val="003906D7"/>
    <w:rsid w:val="00390C98"/>
    <w:rsid w:val="00392601"/>
    <w:rsid w:val="00392D66"/>
    <w:rsid w:val="00394330"/>
    <w:rsid w:val="00394C04"/>
    <w:rsid w:val="00394F29"/>
    <w:rsid w:val="00394F37"/>
    <w:rsid w:val="00396256"/>
    <w:rsid w:val="003962B4"/>
    <w:rsid w:val="003A0652"/>
    <w:rsid w:val="003A0CAC"/>
    <w:rsid w:val="003A1278"/>
    <w:rsid w:val="003A1B45"/>
    <w:rsid w:val="003A2586"/>
    <w:rsid w:val="003A2A35"/>
    <w:rsid w:val="003A2C80"/>
    <w:rsid w:val="003A2CC7"/>
    <w:rsid w:val="003A4031"/>
    <w:rsid w:val="003A49C3"/>
    <w:rsid w:val="003A56C8"/>
    <w:rsid w:val="003A5761"/>
    <w:rsid w:val="003A6F36"/>
    <w:rsid w:val="003B036F"/>
    <w:rsid w:val="003B041C"/>
    <w:rsid w:val="003B0BD1"/>
    <w:rsid w:val="003B1299"/>
    <w:rsid w:val="003B15AB"/>
    <w:rsid w:val="003B34F7"/>
    <w:rsid w:val="003B4365"/>
    <w:rsid w:val="003B4725"/>
    <w:rsid w:val="003B5906"/>
    <w:rsid w:val="003B6AB3"/>
    <w:rsid w:val="003B758C"/>
    <w:rsid w:val="003B76C3"/>
    <w:rsid w:val="003B7F62"/>
    <w:rsid w:val="003C001C"/>
    <w:rsid w:val="003C0199"/>
    <w:rsid w:val="003C0346"/>
    <w:rsid w:val="003C0578"/>
    <w:rsid w:val="003C0838"/>
    <w:rsid w:val="003C0C6E"/>
    <w:rsid w:val="003C1220"/>
    <w:rsid w:val="003C1C85"/>
    <w:rsid w:val="003C2154"/>
    <w:rsid w:val="003C24BB"/>
    <w:rsid w:val="003C33B2"/>
    <w:rsid w:val="003C34E0"/>
    <w:rsid w:val="003C35C7"/>
    <w:rsid w:val="003C3767"/>
    <w:rsid w:val="003C3AD9"/>
    <w:rsid w:val="003C49A9"/>
    <w:rsid w:val="003C4AAE"/>
    <w:rsid w:val="003C5F37"/>
    <w:rsid w:val="003C60FF"/>
    <w:rsid w:val="003C665D"/>
    <w:rsid w:val="003C69CA"/>
    <w:rsid w:val="003C70FE"/>
    <w:rsid w:val="003C725E"/>
    <w:rsid w:val="003C7D93"/>
    <w:rsid w:val="003D015F"/>
    <w:rsid w:val="003D0BB3"/>
    <w:rsid w:val="003D0F53"/>
    <w:rsid w:val="003D129B"/>
    <w:rsid w:val="003D146D"/>
    <w:rsid w:val="003D16B3"/>
    <w:rsid w:val="003D1C84"/>
    <w:rsid w:val="003D270C"/>
    <w:rsid w:val="003D2982"/>
    <w:rsid w:val="003D436A"/>
    <w:rsid w:val="003D484E"/>
    <w:rsid w:val="003D52B5"/>
    <w:rsid w:val="003D65A1"/>
    <w:rsid w:val="003D6BE6"/>
    <w:rsid w:val="003D727C"/>
    <w:rsid w:val="003D7FC3"/>
    <w:rsid w:val="003E0501"/>
    <w:rsid w:val="003E0ACF"/>
    <w:rsid w:val="003E0ADF"/>
    <w:rsid w:val="003E0EF4"/>
    <w:rsid w:val="003E1069"/>
    <w:rsid w:val="003E1E6D"/>
    <w:rsid w:val="003E33B5"/>
    <w:rsid w:val="003E3669"/>
    <w:rsid w:val="003E4FD9"/>
    <w:rsid w:val="003E59DA"/>
    <w:rsid w:val="003E5AF7"/>
    <w:rsid w:val="003E5EA2"/>
    <w:rsid w:val="003E66C9"/>
    <w:rsid w:val="003E6999"/>
    <w:rsid w:val="003E765D"/>
    <w:rsid w:val="003E7807"/>
    <w:rsid w:val="003E7A03"/>
    <w:rsid w:val="003F1474"/>
    <w:rsid w:val="003F200D"/>
    <w:rsid w:val="003F2213"/>
    <w:rsid w:val="003F250E"/>
    <w:rsid w:val="003F28C6"/>
    <w:rsid w:val="003F2909"/>
    <w:rsid w:val="003F3E59"/>
    <w:rsid w:val="003F46B7"/>
    <w:rsid w:val="003F4877"/>
    <w:rsid w:val="003F5E03"/>
    <w:rsid w:val="003F62AF"/>
    <w:rsid w:val="003F717A"/>
    <w:rsid w:val="003F73B9"/>
    <w:rsid w:val="00400B51"/>
    <w:rsid w:val="0040157A"/>
    <w:rsid w:val="00401740"/>
    <w:rsid w:val="00401F14"/>
    <w:rsid w:val="00403020"/>
    <w:rsid w:val="0040459A"/>
    <w:rsid w:val="00404C77"/>
    <w:rsid w:val="004059A4"/>
    <w:rsid w:val="00405A36"/>
    <w:rsid w:val="00406577"/>
    <w:rsid w:val="00407808"/>
    <w:rsid w:val="0041184D"/>
    <w:rsid w:val="004128F1"/>
    <w:rsid w:val="0041326F"/>
    <w:rsid w:val="00413751"/>
    <w:rsid w:val="004139AF"/>
    <w:rsid w:val="00413CB4"/>
    <w:rsid w:val="00413CDC"/>
    <w:rsid w:val="004145D3"/>
    <w:rsid w:val="00414734"/>
    <w:rsid w:val="0041474A"/>
    <w:rsid w:val="00414762"/>
    <w:rsid w:val="00416631"/>
    <w:rsid w:val="0041690A"/>
    <w:rsid w:val="00416A7C"/>
    <w:rsid w:val="00417D80"/>
    <w:rsid w:val="00417E0B"/>
    <w:rsid w:val="0042080E"/>
    <w:rsid w:val="004218FA"/>
    <w:rsid w:val="004234C8"/>
    <w:rsid w:val="0042365D"/>
    <w:rsid w:val="004237A9"/>
    <w:rsid w:val="00423E99"/>
    <w:rsid w:val="00424595"/>
    <w:rsid w:val="00424661"/>
    <w:rsid w:val="00424FEA"/>
    <w:rsid w:val="004250CF"/>
    <w:rsid w:val="004251CC"/>
    <w:rsid w:val="00426021"/>
    <w:rsid w:val="00426127"/>
    <w:rsid w:val="00430EFA"/>
    <w:rsid w:val="00430F93"/>
    <w:rsid w:val="00431050"/>
    <w:rsid w:val="00431FE9"/>
    <w:rsid w:val="00432656"/>
    <w:rsid w:val="00432A68"/>
    <w:rsid w:val="00433118"/>
    <w:rsid w:val="00433865"/>
    <w:rsid w:val="00433971"/>
    <w:rsid w:val="00434034"/>
    <w:rsid w:val="004343C8"/>
    <w:rsid w:val="004359AD"/>
    <w:rsid w:val="004361BB"/>
    <w:rsid w:val="004365DF"/>
    <w:rsid w:val="0043736B"/>
    <w:rsid w:val="00437CB1"/>
    <w:rsid w:val="00437CCC"/>
    <w:rsid w:val="00437D1D"/>
    <w:rsid w:val="00440A30"/>
    <w:rsid w:val="00440B3D"/>
    <w:rsid w:val="00440EFB"/>
    <w:rsid w:val="00441310"/>
    <w:rsid w:val="00441A3B"/>
    <w:rsid w:val="00441F6C"/>
    <w:rsid w:val="0044213D"/>
    <w:rsid w:val="00442791"/>
    <w:rsid w:val="00443293"/>
    <w:rsid w:val="00443C3F"/>
    <w:rsid w:val="0044468B"/>
    <w:rsid w:val="00444722"/>
    <w:rsid w:val="00444AC6"/>
    <w:rsid w:val="00444B08"/>
    <w:rsid w:val="0044509C"/>
    <w:rsid w:val="004457A4"/>
    <w:rsid w:val="00445813"/>
    <w:rsid w:val="00445BC7"/>
    <w:rsid w:val="004463B1"/>
    <w:rsid w:val="00446A3E"/>
    <w:rsid w:val="004471D7"/>
    <w:rsid w:val="0044774A"/>
    <w:rsid w:val="0044792F"/>
    <w:rsid w:val="00447A58"/>
    <w:rsid w:val="00447BA6"/>
    <w:rsid w:val="00447C8A"/>
    <w:rsid w:val="0045137B"/>
    <w:rsid w:val="00451A28"/>
    <w:rsid w:val="004523A3"/>
    <w:rsid w:val="00452BBE"/>
    <w:rsid w:val="004539C8"/>
    <w:rsid w:val="00453B30"/>
    <w:rsid w:val="0045402F"/>
    <w:rsid w:val="0045451C"/>
    <w:rsid w:val="00455509"/>
    <w:rsid w:val="004555B8"/>
    <w:rsid w:val="00455725"/>
    <w:rsid w:val="004558BE"/>
    <w:rsid w:val="0045610D"/>
    <w:rsid w:val="00456C46"/>
    <w:rsid w:val="0045706E"/>
    <w:rsid w:val="004573A6"/>
    <w:rsid w:val="004577F4"/>
    <w:rsid w:val="004602A3"/>
    <w:rsid w:val="0046173C"/>
    <w:rsid w:val="00462EAA"/>
    <w:rsid w:val="004633CB"/>
    <w:rsid w:val="00463DEF"/>
    <w:rsid w:val="00464703"/>
    <w:rsid w:val="00464F52"/>
    <w:rsid w:val="00465576"/>
    <w:rsid w:val="00465AA1"/>
    <w:rsid w:val="00466667"/>
    <w:rsid w:val="00467803"/>
    <w:rsid w:val="00467A6E"/>
    <w:rsid w:val="00467B18"/>
    <w:rsid w:val="00470567"/>
    <w:rsid w:val="004715E7"/>
    <w:rsid w:val="00471B95"/>
    <w:rsid w:val="00472FD3"/>
    <w:rsid w:val="004731CC"/>
    <w:rsid w:val="00473FCD"/>
    <w:rsid w:val="0047457A"/>
    <w:rsid w:val="00475A76"/>
    <w:rsid w:val="00476018"/>
    <w:rsid w:val="00476308"/>
    <w:rsid w:val="00476489"/>
    <w:rsid w:val="00476BFE"/>
    <w:rsid w:val="004772BF"/>
    <w:rsid w:val="00477394"/>
    <w:rsid w:val="004801FD"/>
    <w:rsid w:val="004803CB"/>
    <w:rsid w:val="00480FD5"/>
    <w:rsid w:val="004810A9"/>
    <w:rsid w:val="00481127"/>
    <w:rsid w:val="0048153D"/>
    <w:rsid w:val="00481F0D"/>
    <w:rsid w:val="004820C7"/>
    <w:rsid w:val="004822DA"/>
    <w:rsid w:val="00483640"/>
    <w:rsid w:val="00483F38"/>
    <w:rsid w:val="00484C63"/>
    <w:rsid w:val="00485554"/>
    <w:rsid w:val="00485BF0"/>
    <w:rsid w:val="00485C78"/>
    <w:rsid w:val="0048608F"/>
    <w:rsid w:val="00486211"/>
    <w:rsid w:val="004863A4"/>
    <w:rsid w:val="00486475"/>
    <w:rsid w:val="00486A68"/>
    <w:rsid w:val="00486CAB"/>
    <w:rsid w:val="00487A10"/>
    <w:rsid w:val="00487AD5"/>
    <w:rsid w:val="0049004B"/>
    <w:rsid w:val="004902C0"/>
    <w:rsid w:val="004906A3"/>
    <w:rsid w:val="00490F06"/>
    <w:rsid w:val="00490F54"/>
    <w:rsid w:val="004914B7"/>
    <w:rsid w:val="00491AAD"/>
    <w:rsid w:val="00492822"/>
    <w:rsid w:val="00493272"/>
    <w:rsid w:val="004936E8"/>
    <w:rsid w:val="004937D9"/>
    <w:rsid w:val="004951A8"/>
    <w:rsid w:val="004955B8"/>
    <w:rsid w:val="0049576F"/>
    <w:rsid w:val="00495E2F"/>
    <w:rsid w:val="00497431"/>
    <w:rsid w:val="00497AE6"/>
    <w:rsid w:val="004A0339"/>
    <w:rsid w:val="004A08A5"/>
    <w:rsid w:val="004A0BF8"/>
    <w:rsid w:val="004A1695"/>
    <w:rsid w:val="004A2E4A"/>
    <w:rsid w:val="004A37F5"/>
    <w:rsid w:val="004A453E"/>
    <w:rsid w:val="004A5000"/>
    <w:rsid w:val="004A5763"/>
    <w:rsid w:val="004A59FF"/>
    <w:rsid w:val="004A5EE8"/>
    <w:rsid w:val="004A6BD5"/>
    <w:rsid w:val="004B1408"/>
    <w:rsid w:val="004B1553"/>
    <w:rsid w:val="004B1558"/>
    <w:rsid w:val="004B1BA2"/>
    <w:rsid w:val="004B2544"/>
    <w:rsid w:val="004B268D"/>
    <w:rsid w:val="004B2BCA"/>
    <w:rsid w:val="004B2C0B"/>
    <w:rsid w:val="004B2CBD"/>
    <w:rsid w:val="004B2FC1"/>
    <w:rsid w:val="004B305A"/>
    <w:rsid w:val="004B32B2"/>
    <w:rsid w:val="004B3D02"/>
    <w:rsid w:val="004B5236"/>
    <w:rsid w:val="004B57BF"/>
    <w:rsid w:val="004B69AC"/>
    <w:rsid w:val="004B6BEF"/>
    <w:rsid w:val="004B7142"/>
    <w:rsid w:val="004B714B"/>
    <w:rsid w:val="004B7658"/>
    <w:rsid w:val="004B7843"/>
    <w:rsid w:val="004B7DD2"/>
    <w:rsid w:val="004C01AC"/>
    <w:rsid w:val="004C06F4"/>
    <w:rsid w:val="004C0D42"/>
    <w:rsid w:val="004C1101"/>
    <w:rsid w:val="004C15DF"/>
    <w:rsid w:val="004C1791"/>
    <w:rsid w:val="004C27C5"/>
    <w:rsid w:val="004C2823"/>
    <w:rsid w:val="004C29B3"/>
    <w:rsid w:val="004C29D0"/>
    <w:rsid w:val="004C3DA9"/>
    <w:rsid w:val="004C57A7"/>
    <w:rsid w:val="004D018E"/>
    <w:rsid w:val="004D01C9"/>
    <w:rsid w:val="004D0526"/>
    <w:rsid w:val="004D0E66"/>
    <w:rsid w:val="004D1517"/>
    <w:rsid w:val="004D15C5"/>
    <w:rsid w:val="004D418B"/>
    <w:rsid w:val="004D4239"/>
    <w:rsid w:val="004D59E6"/>
    <w:rsid w:val="004D602E"/>
    <w:rsid w:val="004D61C7"/>
    <w:rsid w:val="004D6A56"/>
    <w:rsid w:val="004E0900"/>
    <w:rsid w:val="004E0C08"/>
    <w:rsid w:val="004E138E"/>
    <w:rsid w:val="004E258B"/>
    <w:rsid w:val="004E2BBD"/>
    <w:rsid w:val="004E3150"/>
    <w:rsid w:val="004E4273"/>
    <w:rsid w:val="004E4BBA"/>
    <w:rsid w:val="004E4F9E"/>
    <w:rsid w:val="004E550F"/>
    <w:rsid w:val="004E5B09"/>
    <w:rsid w:val="004E659F"/>
    <w:rsid w:val="004E65B5"/>
    <w:rsid w:val="004E6D8F"/>
    <w:rsid w:val="004E70D9"/>
    <w:rsid w:val="004E72AD"/>
    <w:rsid w:val="004E7CE8"/>
    <w:rsid w:val="004E7E41"/>
    <w:rsid w:val="004F03BA"/>
    <w:rsid w:val="004F070E"/>
    <w:rsid w:val="004F0E68"/>
    <w:rsid w:val="004F1AFC"/>
    <w:rsid w:val="004F2243"/>
    <w:rsid w:val="004F263A"/>
    <w:rsid w:val="004F279A"/>
    <w:rsid w:val="004F2B3A"/>
    <w:rsid w:val="004F4F64"/>
    <w:rsid w:val="004F5147"/>
    <w:rsid w:val="004F5DAD"/>
    <w:rsid w:val="004F5FA0"/>
    <w:rsid w:val="004F5FD0"/>
    <w:rsid w:val="004F61FE"/>
    <w:rsid w:val="004F67BC"/>
    <w:rsid w:val="004F6D5A"/>
    <w:rsid w:val="004F6E02"/>
    <w:rsid w:val="004F7791"/>
    <w:rsid w:val="00500AA5"/>
    <w:rsid w:val="00500D7E"/>
    <w:rsid w:val="00500F0B"/>
    <w:rsid w:val="00500F75"/>
    <w:rsid w:val="00502057"/>
    <w:rsid w:val="005026F8"/>
    <w:rsid w:val="005027BB"/>
    <w:rsid w:val="00502A2D"/>
    <w:rsid w:val="005031F1"/>
    <w:rsid w:val="005032B2"/>
    <w:rsid w:val="005035CD"/>
    <w:rsid w:val="00503E10"/>
    <w:rsid w:val="005067E1"/>
    <w:rsid w:val="0050706F"/>
    <w:rsid w:val="005076B0"/>
    <w:rsid w:val="0051094D"/>
    <w:rsid w:val="00510D6B"/>
    <w:rsid w:val="00510F8B"/>
    <w:rsid w:val="00511B5D"/>
    <w:rsid w:val="00512E46"/>
    <w:rsid w:val="00513503"/>
    <w:rsid w:val="00513ABB"/>
    <w:rsid w:val="00513D04"/>
    <w:rsid w:val="0051400C"/>
    <w:rsid w:val="005148A6"/>
    <w:rsid w:val="00514BE5"/>
    <w:rsid w:val="005164CF"/>
    <w:rsid w:val="0051678E"/>
    <w:rsid w:val="005167A9"/>
    <w:rsid w:val="00517351"/>
    <w:rsid w:val="00517A0D"/>
    <w:rsid w:val="005202E8"/>
    <w:rsid w:val="0052034C"/>
    <w:rsid w:val="0052035F"/>
    <w:rsid w:val="0052092F"/>
    <w:rsid w:val="00520D22"/>
    <w:rsid w:val="0052135E"/>
    <w:rsid w:val="00521F52"/>
    <w:rsid w:val="00522CE8"/>
    <w:rsid w:val="00523710"/>
    <w:rsid w:val="00524589"/>
    <w:rsid w:val="00525C2A"/>
    <w:rsid w:val="005268B6"/>
    <w:rsid w:val="00526D91"/>
    <w:rsid w:val="00526F7E"/>
    <w:rsid w:val="005273A2"/>
    <w:rsid w:val="005304A8"/>
    <w:rsid w:val="0053053B"/>
    <w:rsid w:val="005306B9"/>
    <w:rsid w:val="00530BB5"/>
    <w:rsid w:val="00530CA5"/>
    <w:rsid w:val="00530FAC"/>
    <w:rsid w:val="00531AA6"/>
    <w:rsid w:val="00532567"/>
    <w:rsid w:val="005326BD"/>
    <w:rsid w:val="00532A83"/>
    <w:rsid w:val="00532B78"/>
    <w:rsid w:val="00533F64"/>
    <w:rsid w:val="00534239"/>
    <w:rsid w:val="0053426F"/>
    <w:rsid w:val="00534504"/>
    <w:rsid w:val="00534537"/>
    <w:rsid w:val="00534F24"/>
    <w:rsid w:val="00535481"/>
    <w:rsid w:val="00537E5A"/>
    <w:rsid w:val="0054085B"/>
    <w:rsid w:val="0054104A"/>
    <w:rsid w:val="0054256B"/>
    <w:rsid w:val="005437A8"/>
    <w:rsid w:val="00543E62"/>
    <w:rsid w:val="005441E0"/>
    <w:rsid w:val="00544621"/>
    <w:rsid w:val="0054536E"/>
    <w:rsid w:val="005453FC"/>
    <w:rsid w:val="00545651"/>
    <w:rsid w:val="005458D7"/>
    <w:rsid w:val="005459C6"/>
    <w:rsid w:val="00545F8F"/>
    <w:rsid w:val="00546B55"/>
    <w:rsid w:val="0054747A"/>
    <w:rsid w:val="005474E1"/>
    <w:rsid w:val="005475A5"/>
    <w:rsid w:val="00550411"/>
    <w:rsid w:val="0055055C"/>
    <w:rsid w:val="005506F8"/>
    <w:rsid w:val="00553C98"/>
    <w:rsid w:val="00553D38"/>
    <w:rsid w:val="00554D01"/>
    <w:rsid w:val="00554EEB"/>
    <w:rsid w:val="00554F52"/>
    <w:rsid w:val="0055559C"/>
    <w:rsid w:val="00555B0F"/>
    <w:rsid w:val="005561AA"/>
    <w:rsid w:val="00556486"/>
    <w:rsid w:val="00556A87"/>
    <w:rsid w:val="00557280"/>
    <w:rsid w:val="005573CD"/>
    <w:rsid w:val="005575D1"/>
    <w:rsid w:val="00557726"/>
    <w:rsid w:val="00557C4D"/>
    <w:rsid w:val="00557FEA"/>
    <w:rsid w:val="0056027F"/>
    <w:rsid w:val="0056081B"/>
    <w:rsid w:val="00560AF4"/>
    <w:rsid w:val="00560B31"/>
    <w:rsid w:val="005610BE"/>
    <w:rsid w:val="005612C2"/>
    <w:rsid w:val="00561372"/>
    <w:rsid w:val="00563F90"/>
    <w:rsid w:val="00564187"/>
    <w:rsid w:val="00564985"/>
    <w:rsid w:val="00564C99"/>
    <w:rsid w:val="005658D6"/>
    <w:rsid w:val="005662A6"/>
    <w:rsid w:val="005668F2"/>
    <w:rsid w:val="0056710F"/>
    <w:rsid w:val="005673EE"/>
    <w:rsid w:val="00567889"/>
    <w:rsid w:val="00567ED4"/>
    <w:rsid w:val="005701F4"/>
    <w:rsid w:val="0057118E"/>
    <w:rsid w:val="00571C8F"/>
    <w:rsid w:val="00571DDA"/>
    <w:rsid w:val="00573592"/>
    <w:rsid w:val="005738A3"/>
    <w:rsid w:val="00573D59"/>
    <w:rsid w:val="005741FB"/>
    <w:rsid w:val="005745D9"/>
    <w:rsid w:val="00574976"/>
    <w:rsid w:val="00574DB5"/>
    <w:rsid w:val="0057517B"/>
    <w:rsid w:val="00575360"/>
    <w:rsid w:val="005756EE"/>
    <w:rsid w:val="0057722B"/>
    <w:rsid w:val="00577D1E"/>
    <w:rsid w:val="005813C9"/>
    <w:rsid w:val="00581FB8"/>
    <w:rsid w:val="0058344C"/>
    <w:rsid w:val="00583732"/>
    <w:rsid w:val="00583BF8"/>
    <w:rsid w:val="00583C7F"/>
    <w:rsid w:val="005847B4"/>
    <w:rsid w:val="00585132"/>
    <w:rsid w:val="00585AC5"/>
    <w:rsid w:val="00585AD4"/>
    <w:rsid w:val="00585CEC"/>
    <w:rsid w:val="005863D2"/>
    <w:rsid w:val="0058654B"/>
    <w:rsid w:val="00586E31"/>
    <w:rsid w:val="005900B6"/>
    <w:rsid w:val="005904AF"/>
    <w:rsid w:val="00590C68"/>
    <w:rsid w:val="00590FCC"/>
    <w:rsid w:val="00591117"/>
    <w:rsid w:val="0059162B"/>
    <w:rsid w:val="00592613"/>
    <w:rsid w:val="005927EC"/>
    <w:rsid w:val="00592EC2"/>
    <w:rsid w:val="005932FD"/>
    <w:rsid w:val="0059333E"/>
    <w:rsid w:val="00593695"/>
    <w:rsid w:val="00593822"/>
    <w:rsid w:val="005939D4"/>
    <w:rsid w:val="00593FC2"/>
    <w:rsid w:val="00594E32"/>
    <w:rsid w:val="00595D00"/>
    <w:rsid w:val="005965FD"/>
    <w:rsid w:val="005967E5"/>
    <w:rsid w:val="0059696F"/>
    <w:rsid w:val="005969C7"/>
    <w:rsid w:val="0059731A"/>
    <w:rsid w:val="00597481"/>
    <w:rsid w:val="005A042D"/>
    <w:rsid w:val="005A09C4"/>
    <w:rsid w:val="005A1CF8"/>
    <w:rsid w:val="005A2913"/>
    <w:rsid w:val="005A2C42"/>
    <w:rsid w:val="005A379F"/>
    <w:rsid w:val="005A4555"/>
    <w:rsid w:val="005A642C"/>
    <w:rsid w:val="005A6722"/>
    <w:rsid w:val="005A7451"/>
    <w:rsid w:val="005A74A8"/>
    <w:rsid w:val="005A7F98"/>
    <w:rsid w:val="005B052A"/>
    <w:rsid w:val="005B1284"/>
    <w:rsid w:val="005B19CE"/>
    <w:rsid w:val="005B216C"/>
    <w:rsid w:val="005B2DD0"/>
    <w:rsid w:val="005B453A"/>
    <w:rsid w:val="005B4ED4"/>
    <w:rsid w:val="005B50DF"/>
    <w:rsid w:val="005B516C"/>
    <w:rsid w:val="005B525A"/>
    <w:rsid w:val="005B527F"/>
    <w:rsid w:val="005B566E"/>
    <w:rsid w:val="005B56BC"/>
    <w:rsid w:val="005B5D34"/>
    <w:rsid w:val="005B60DC"/>
    <w:rsid w:val="005B6C95"/>
    <w:rsid w:val="005B7B34"/>
    <w:rsid w:val="005C0776"/>
    <w:rsid w:val="005C0BC3"/>
    <w:rsid w:val="005C10F5"/>
    <w:rsid w:val="005C13BF"/>
    <w:rsid w:val="005C17CA"/>
    <w:rsid w:val="005C195E"/>
    <w:rsid w:val="005C1D23"/>
    <w:rsid w:val="005C2129"/>
    <w:rsid w:val="005C2369"/>
    <w:rsid w:val="005C2513"/>
    <w:rsid w:val="005C30D0"/>
    <w:rsid w:val="005C33F2"/>
    <w:rsid w:val="005C3F8E"/>
    <w:rsid w:val="005C43B3"/>
    <w:rsid w:val="005C4A3E"/>
    <w:rsid w:val="005C535E"/>
    <w:rsid w:val="005C54DF"/>
    <w:rsid w:val="005C711F"/>
    <w:rsid w:val="005C7F62"/>
    <w:rsid w:val="005C7FA1"/>
    <w:rsid w:val="005D0FDE"/>
    <w:rsid w:val="005D1A95"/>
    <w:rsid w:val="005D2040"/>
    <w:rsid w:val="005D2216"/>
    <w:rsid w:val="005D2E1C"/>
    <w:rsid w:val="005D3107"/>
    <w:rsid w:val="005D3ECC"/>
    <w:rsid w:val="005D41CE"/>
    <w:rsid w:val="005D4783"/>
    <w:rsid w:val="005D4C0B"/>
    <w:rsid w:val="005D50C1"/>
    <w:rsid w:val="005D5C61"/>
    <w:rsid w:val="005D5D88"/>
    <w:rsid w:val="005D5E6D"/>
    <w:rsid w:val="005D6135"/>
    <w:rsid w:val="005D6447"/>
    <w:rsid w:val="005D651D"/>
    <w:rsid w:val="005E0610"/>
    <w:rsid w:val="005E1076"/>
    <w:rsid w:val="005E10C3"/>
    <w:rsid w:val="005E1BC4"/>
    <w:rsid w:val="005E1C9C"/>
    <w:rsid w:val="005E1D75"/>
    <w:rsid w:val="005E2591"/>
    <w:rsid w:val="005E27A9"/>
    <w:rsid w:val="005E316D"/>
    <w:rsid w:val="005E3E7E"/>
    <w:rsid w:val="005E46A4"/>
    <w:rsid w:val="005E591B"/>
    <w:rsid w:val="005E5C67"/>
    <w:rsid w:val="005E6FBA"/>
    <w:rsid w:val="005E79CE"/>
    <w:rsid w:val="005E7D82"/>
    <w:rsid w:val="005F0B60"/>
    <w:rsid w:val="005F1552"/>
    <w:rsid w:val="005F15A5"/>
    <w:rsid w:val="005F1FE7"/>
    <w:rsid w:val="005F27D9"/>
    <w:rsid w:val="005F300E"/>
    <w:rsid w:val="005F328C"/>
    <w:rsid w:val="005F3CF4"/>
    <w:rsid w:val="005F417F"/>
    <w:rsid w:val="005F4292"/>
    <w:rsid w:val="005F45E2"/>
    <w:rsid w:val="005F5870"/>
    <w:rsid w:val="005F5C3A"/>
    <w:rsid w:val="005F5F53"/>
    <w:rsid w:val="005F6149"/>
    <w:rsid w:val="005F67E3"/>
    <w:rsid w:val="005F6D31"/>
    <w:rsid w:val="005F6D74"/>
    <w:rsid w:val="005F6F67"/>
    <w:rsid w:val="005F7796"/>
    <w:rsid w:val="006015FD"/>
    <w:rsid w:val="00602021"/>
    <w:rsid w:val="006023E2"/>
    <w:rsid w:val="006035F2"/>
    <w:rsid w:val="00603777"/>
    <w:rsid w:val="00603A86"/>
    <w:rsid w:val="00603DFB"/>
    <w:rsid w:val="00603E88"/>
    <w:rsid w:val="00604952"/>
    <w:rsid w:val="00605868"/>
    <w:rsid w:val="0060649B"/>
    <w:rsid w:val="00607D4A"/>
    <w:rsid w:val="00607DE9"/>
    <w:rsid w:val="006102FE"/>
    <w:rsid w:val="00610705"/>
    <w:rsid w:val="0061199B"/>
    <w:rsid w:val="00611A56"/>
    <w:rsid w:val="00611B3D"/>
    <w:rsid w:val="00611D4D"/>
    <w:rsid w:val="00611EAD"/>
    <w:rsid w:val="00612C62"/>
    <w:rsid w:val="00613205"/>
    <w:rsid w:val="006139BB"/>
    <w:rsid w:val="00614270"/>
    <w:rsid w:val="00614483"/>
    <w:rsid w:val="00614BBF"/>
    <w:rsid w:val="00616094"/>
    <w:rsid w:val="006163F2"/>
    <w:rsid w:val="0061646D"/>
    <w:rsid w:val="006169B5"/>
    <w:rsid w:val="00617172"/>
    <w:rsid w:val="006172B1"/>
    <w:rsid w:val="00617A25"/>
    <w:rsid w:val="00620663"/>
    <w:rsid w:val="00620900"/>
    <w:rsid w:val="00620B33"/>
    <w:rsid w:val="00621336"/>
    <w:rsid w:val="006217C5"/>
    <w:rsid w:val="00621F49"/>
    <w:rsid w:val="00622568"/>
    <w:rsid w:val="006227D7"/>
    <w:rsid w:val="0062294D"/>
    <w:rsid w:val="00622972"/>
    <w:rsid w:val="00622A78"/>
    <w:rsid w:val="00623F6F"/>
    <w:rsid w:val="00624C7B"/>
    <w:rsid w:val="006264A0"/>
    <w:rsid w:val="0062680B"/>
    <w:rsid w:val="006270A4"/>
    <w:rsid w:val="00627E90"/>
    <w:rsid w:val="00627EBA"/>
    <w:rsid w:val="006301DD"/>
    <w:rsid w:val="006308F5"/>
    <w:rsid w:val="00630AF0"/>
    <w:rsid w:val="00631515"/>
    <w:rsid w:val="00631731"/>
    <w:rsid w:val="006319A3"/>
    <w:rsid w:val="00632C2D"/>
    <w:rsid w:val="00632C30"/>
    <w:rsid w:val="00633640"/>
    <w:rsid w:val="006337DF"/>
    <w:rsid w:val="00634AA7"/>
    <w:rsid w:val="006355B2"/>
    <w:rsid w:val="00635861"/>
    <w:rsid w:val="0063611A"/>
    <w:rsid w:val="00636D66"/>
    <w:rsid w:val="00640BB9"/>
    <w:rsid w:val="00640C24"/>
    <w:rsid w:val="00640F1A"/>
    <w:rsid w:val="00641618"/>
    <w:rsid w:val="00641633"/>
    <w:rsid w:val="00641C8A"/>
    <w:rsid w:val="00641F79"/>
    <w:rsid w:val="0064325F"/>
    <w:rsid w:val="0064343C"/>
    <w:rsid w:val="00643A35"/>
    <w:rsid w:val="00643CA0"/>
    <w:rsid w:val="00644943"/>
    <w:rsid w:val="00644B8B"/>
    <w:rsid w:val="00644E59"/>
    <w:rsid w:val="006450ED"/>
    <w:rsid w:val="0064676D"/>
    <w:rsid w:val="00646D89"/>
    <w:rsid w:val="0064780C"/>
    <w:rsid w:val="00647BA4"/>
    <w:rsid w:val="0065074C"/>
    <w:rsid w:val="0065079E"/>
    <w:rsid w:val="00650AB6"/>
    <w:rsid w:val="00650B18"/>
    <w:rsid w:val="00651046"/>
    <w:rsid w:val="0065151D"/>
    <w:rsid w:val="00651608"/>
    <w:rsid w:val="006521BE"/>
    <w:rsid w:val="0065272D"/>
    <w:rsid w:val="006531E9"/>
    <w:rsid w:val="00653964"/>
    <w:rsid w:val="00653C7A"/>
    <w:rsid w:val="00653D9F"/>
    <w:rsid w:val="00653E52"/>
    <w:rsid w:val="00653EAA"/>
    <w:rsid w:val="00654287"/>
    <w:rsid w:val="00654AA3"/>
    <w:rsid w:val="00654C52"/>
    <w:rsid w:val="00654E34"/>
    <w:rsid w:val="00655092"/>
    <w:rsid w:val="00655CF0"/>
    <w:rsid w:val="00655DE1"/>
    <w:rsid w:val="006572B8"/>
    <w:rsid w:val="006604D8"/>
    <w:rsid w:val="0066057A"/>
    <w:rsid w:val="00660D86"/>
    <w:rsid w:val="0066183E"/>
    <w:rsid w:val="00662342"/>
    <w:rsid w:val="00662A04"/>
    <w:rsid w:val="006634B6"/>
    <w:rsid w:val="00663A80"/>
    <w:rsid w:val="00665242"/>
    <w:rsid w:val="00665C46"/>
    <w:rsid w:val="00665EAA"/>
    <w:rsid w:val="006666BB"/>
    <w:rsid w:val="0066682E"/>
    <w:rsid w:val="00667244"/>
    <w:rsid w:val="0066766E"/>
    <w:rsid w:val="006676AB"/>
    <w:rsid w:val="0066771F"/>
    <w:rsid w:val="00667E00"/>
    <w:rsid w:val="00667F37"/>
    <w:rsid w:val="00670D2D"/>
    <w:rsid w:val="00671854"/>
    <w:rsid w:val="00671FE6"/>
    <w:rsid w:val="006727C5"/>
    <w:rsid w:val="006729F7"/>
    <w:rsid w:val="00672E07"/>
    <w:rsid w:val="00673492"/>
    <w:rsid w:val="006737AC"/>
    <w:rsid w:val="00674208"/>
    <w:rsid w:val="006750AD"/>
    <w:rsid w:val="00675B60"/>
    <w:rsid w:val="00675E69"/>
    <w:rsid w:val="006763C2"/>
    <w:rsid w:val="00676D26"/>
    <w:rsid w:val="0067741C"/>
    <w:rsid w:val="006776AA"/>
    <w:rsid w:val="00680EA0"/>
    <w:rsid w:val="00680F7D"/>
    <w:rsid w:val="006815A0"/>
    <w:rsid w:val="0068165E"/>
    <w:rsid w:val="00681842"/>
    <w:rsid w:val="00681D9E"/>
    <w:rsid w:val="00681F53"/>
    <w:rsid w:val="0068282A"/>
    <w:rsid w:val="00682878"/>
    <w:rsid w:val="00682A5C"/>
    <w:rsid w:val="006834CA"/>
    <w:rsid w:val="00683564"/>
    <w:rsid w:val="00683E56"/>
    <w:rsid w:val="006848D3"/>
    <w:rsid w:val="006851C0"/>
    <w:rsid w:val="00685B8F"/>
    <w:rsid w:val="00685C2B"/>
    <w:rsid w:val="00685D34"/>
    <w:rsid w:val="006862F8"/>
    <w:rsid w:val="00687156"/>
    <w:rsid w:val="00690A5B"/>
    <w:rsid w:val="006910EB"/>
    <w:rsid w:val="00691951"/>
    <w:rsid w:val="00692467"/>
    <w:rsid w:val="00692803"/>
    <w:rsid w:val="00693740"/>
    <w:rsid w:val="006937EF"/>
    <w:rsid w:val="00693E2A"/>
    <w:rsid w:val="006946C3"/>
    <w:rsid w:val="0069508C"/>
    <w:rsid w:val="006953B1"/>
    <w:rsid w:val="00695536"/>
    <w:rsid w:val="00695AA2"/>
    <w:rsid w:val="00695E00"/>
    <w:rsid w:val="0069653D"/>
    <w:rsid w:val="00696822"/>
    <w:rsid w:val="00696D85"/>
    <w:rsid w:val="006971FB"/>
    <w:rsid w:val="00697B10"/>
    <w:rsid w:val="006A011B"/>
    <w:rsid w:val="006A09B5"/>
    <w:rsid w:val="006A1686"/>
    <w:rsid w:val="006A2112"/>
    <w:rsid w:val="006A25F8"/>
    <w:rsid w:val="006A404B"/>
    <w:rsid w:val="006A4431"/>
    <w:rsid w:val="006A4EB3"/>
    <w:rsid w:val="006A5267"/>
    <w:rsid w:val="006A68DF"/>
    <w:rsid w:val="006A7587"/>
    <w:rsid w:val="006A79CE"/>
    <w:rsid w:val="006A7A68"/>
    <w:rsid w:val="006A7FC2"/>
    <w:rsid w:val="006B0C35"/>
    <w:rsid w:val="006B14CA"/>
    <w:rsid w:val="006B2115"/>
    <w:rsid w:val="006B2550"/>
    <w:rsid w:val="006B288B"/>
    <w:rsid w:val="006B2941"/>
    <w:rsid w:val="006B2B49"/>
    <w:rsid w:val="006B2F55"/>
    <w:rsid w:val="006B325C"/>
    <w:rsid w:val="006B47EF"/>
    <w:rsid w:val="006B4CF7"/>
    <w:rsid w:val="006B4E8C"/>
    <w:rsid w:val="006B511C"/>
    <w:rsid w:val="006B56B7"/>
    <w:rsid w:val="006B5D1A"/>
    <w:rsid w:val="006B63DB"/>
    <w:rsid w:val="006B702F"/>
    <w:rsid w:val="006B74F8"/>
    <w:rsid w:val="006B769C"/>
    <w:rsid w:val="006B7DDD"/>
    <w:rsid w:val="006C04C7"/>
    <w:rsid w:val="006C0981"/>
    <w:rsid w:val="006C125F"/>
    <w:rsid w:val="006C1E70"/>
    <w:rsid w:val="006C330D"/>
    <w:rsid w:val="006C3A76"/>
    <w:rsid w:val="006C4130"/>
    <w:rsid w:val="006C41B3"/>
    <w:rsid w:val="006C42FD"/>
    <w:rsid w:val="006C6B5A"/>
    <w:rsid w:val="006C7844"/>
    <w:rsid w:val="006C7884"/>
    <w:rsid w:val="006C7D6D"/>
    <w:rsid w:val="006D05C1"/>
    <w:rsid w:val="006D09EA"/>
    <w:rsid w:val="006D1B4B"/>
    <w:rsid w:val="006D2244"/>
    <w:rsid w:val="006D224B"/>
    <w:rsid w:val="006D268B"/>
    <w:rsid w:val="006D2F62"/>
    <w:rsid w:val="006D3BC4"/>
    <w:rsid w:val="006D51C8"/>
    <w:rsid w:val="006D52AC"/>
    <w:rsid w:val="006D6AE6"/>
    <w:rsid w:val="006D7040"/>
    <w:rsid w:val="006D71EF"/>
    <w:rsid w:val="006D7570"/>
    <w:rsid w:val="006E03E6"/>
    <w:rsid w:val="006E0741"/>
    <w:rsid w:val="006E092B"/>
    <w:rsid w:val="006E0AEB"/>
    <w:rsid w:val="006E2C16"/>
    <w:rsid w:val="006E37CC"/>
    <w:rsid w:val="006E3A8A"/>
    <w:rsid w:val="006E4D38"/>
    <w:rsid w:val="006E4DCE"/>
    <w:rsid w:val="006E5492"/>
    <w:rsid w:val="006E58DA"/>
    <w:rsid w:val="006E64F1"/>
    <w:rsid w:val="006E6923"/>
    <w:rsid w:val="006E732B"/>
    <w:rsid w:val="006E7AB9"/>
    <w:rsid w:val="006E7C22"/>
    <w:rsid w:val="006E7C8D"/>
    <w:rsid w:val="006E7CF3"/>
    <w:rsid w:val="006E7F34"/>
    <w:rsid w:val="006F03D0"/>
    <w:rsid w:val="006F0BCE"/>
    <w:rsid w:val="006F14CA"/>
    <w:rsid w:val="006F234F"/>
    <w:rsid w:val="006F26E3"/>
    <w:rsid w:val="006F2CFB"/>
    <w:rsid w:val="006F2E52"/>
    <w:rsid w:val="006F2EF8"/>
    <w:rsid w:val="006F3018"/>
    <w:rsid w:val="006F3874"/>
    <w:rsid w:val="006F3994"/>
    <w:rsid w:val="006F4D33"/>
    <w:rsid w:val="006F4E41"/>
    <w:rsid w:val="006F5246"/>
    <w:rsid w:val="006F5B8B"/>
    <w:rsid w:val="006F6147"/>
    <w:rsid w:val="007000A9"/>
    <w:rsid w:val="00701327"/>
    <w:rsid w:val="00701F3A"/>
    <w:rsid w:val="00702C0B"/>
    <w:rsid w:val="0070350D"/>
    <w:rsid w:val="007040C5"/>
    <w:rsid w:val="0070449C"/>
    <w:rsid w:val="007046C8"/>
    <w:rsid w:val="007048DE"/>
    <w:rsid w:val="00704D7A"/>
    <w:rsid w:val="007053A2"/>
    <w:rsid w:val="00705AAC"/>
    <w:rsid w:val="007067D5"/>
    <w:rsid w:val="00706F63"/>
    <w:rsid w:val="0070780C"/>
    <w:rsid w:val="0070797E"/>
    <w:rsid w:val="00707B2F"/>
    <w:rsid w:val="00707EB8"/>
    <w:rsid w:val="00707F5A"/>
    <w:rsid w:val="007104D2"/>
    <w:rsid w:val="00710C26"/>
    <w:rsid w:val="007118D3"/>
    <w:rsid w:val="00712141"/>
    <w:rsid w:val="00713713"/>
    <w:rsid w:val="00713C5C"/>
    <w:rsid w:val="007143C3"/>
    <w:rsid w:val="007144F6"/>
    <w:rsid w:val="00714770"/>
    <w:rsid w:val="0071531E"/>
    <w:rsid w:val="0071559D"/>
    <w:rsid w:val="007162AF"/>
    <w:rsid w:val="007165F2"/>
    <w:rsid w:val="007177C9"/>
    <w:rsid w:val="007206CE"/>
    <w:rsid w:val="0072075E"/>
    <w:rsid w:val="00720F14"/>
    <w:rsid w:val="007214FE"/>
    <w:rsid w:val="00722A8D"/>
    <w:rsid w:val="00723628"/>
    <w:rsid w:val="0072426E"/>
    <w:rsid w:val="00724594"/>
    <w:rsid w:val="007252C1"/>
    <w:rsid w:val="007257CF"/>
    <w:rsid w:val="0072613C"/>
    <w:rsid w:val="007264C6"/>
    <w:rsid w:val="007272F1"/>
    <w:rsid w:val="00727AE9"/>
    <w:rsid w:val="00730A2A"/>
    <w:rsid w:val="0073118F"/>
    <w:rsid w:val="00731948"/>
    <w:rsid w:val="00731E7A"/>
    <w:rsid w:val="00733E8D"/>
    <w:rsid w:val="00734927"/>
    <w:rsid w:val="00734E4E"/>
    <w:rsid w:val="00735C8E"/>
    <w:rsid w:val="0073699F"/>
    <w:rsid w:val="00736A79"/>
    <w:rsid w:val="00736C4D"/>
    <w:rsid w:val="007413BC"/>
    <w:rsid w:val="00742F0D"/>
    <w:rsid w:val="0074312D"/>
    <w:rsid w:val="007445F5"/>
    <w:rsid w:val="00744843"/>
    <w:rsid w:val="007451D1"/>
    <w:rsid w:val="00745282"/>
    <w:rsid w:val="0074585D"/>
    <w:rsid w:val="0074705E"/>
    <w:rsid w:val="00747459"/>
    <w:rsid w:val="007479D7"/>
    <w:rsid w:val="00747B92"/>
    <w:rsid w:val="007506EA"/>
    <w:rsid w:val="00750A6F"/>
    <w:rsid w:val="00750D0D"/>
    <w:rsid w:val="00750D4F"/>
    <w:rsid w:val="0075103E"/>
    <w:rsid w:val="007517B9"/>
    <w:rsid w:val="007534C7"/>
    <w:rsid w:val="00753B29"/>
    <w:rsid w:val="00753BF4"/>
    <w:rsid w:val="00754081"/>
    <w:rsid w:val="00755880"/>
    <w:rsid w:val="00755C10"/>
    <w:rsid w:val="007562A0"/>
    <w:rsid w:val="00756AD7"/>
    <w:rsid w:val="0075720C"/>
    <w:rsid w:val="007577B3"/>
    <w:rsid w:val="007577CF"/>
    <w:rsid w:val="00757FA4"/>
    <w:rsid w:val="007612F2"/>
    <w:rsid w:val="0076168A"/>
    <w:rsid w:val="00761699"/>
    <w:rsid w:val="00761D28"/>
    <w:rsid w:val="007624E9"/>
    <w:rsid w:val="0076331D"/>
    <w:rsid w:val="00764E9D"/>
    <w:rsid w:val="00764F2C"/>
    <w:rsid w:val="00765A36"/>
    <w:rsid w:val="007671A6"/>
    <w:rsid w:val="00767B0F"/>
    <w:rsid w:val="00770303"/>
    <w:rsid w:val="0077037E"/>
    <w:rsid w:val="00770DF0"/>
    <w:rsid w:val="00771255"/>
    <w:rsid w:val="00771D06"/>
    <w:rsid w:val="00772DD8"/>
    <w:rsid w:val="00773280"/>
    <w:rsid w:val="00773299"/>
    <w:rsid w:val="0077501E"/>
    <w:rsid w:val="007756B1"/>
    <w:rsid w:val="00775A79"/>
    <w:rsid w:val="00776737"/>
    <w:rsid w:val="00776777"/>
    <w:rsid w:val="007769B1"/>
    <w:rsid w:val="00776A2E"/>
    <w:rsid w:val="00777178"/>
    <w:rsid w:val="007778A7"/>
    <w:rsid w:val="00777C02"/>
    <w:rsid w:val="00780092"/>
    <w:rsid w:val="0078045A"/>
    <w:rsid w:val="007808C0"/>
    <w:rsid w:val="007809CD"/>
    <w:rsid w:val="007810A3"/>
    <w:rsid w:val="00781122"/>
    <w:rsid w:val="00781CEA"/>
    <w:rsid w:val="00783018"/>
    <w:rsid w:val="007836D2"/>
    <w:rsid w:val="0078370E"/>
    <w:rsid w:val="0078441B"/>
    <w:rsid w:val="007857D3"/>
    <w:rsid w:val="00785A7D"/>
    <w:rsid w:val="00786256"/>
    <w:rsid w:val="0078676B"/>
    <w:rsid w:val="0078711F"/>
    <w:rsid w:val="00790546"/>
    <w:rsid w:val="00790569"/>
    <w:rsid w:val="007924A3"/>
    <w:rsid w:val="007924B4"/>
    <w:rsid w:val="007929D8"/>
    <w:rsid w:val="00792C98"/>
    <w:rsid w:val="00793488"/>
    <w:rsid w:val="0079358D"/>
    <w:rsid w:val="0079394B"/>
    <w:rsid w:val="007945D8"/>
    <w:rsid w:val="00794D41"/>
    <w:rsid w:val="00794D7F"/>
    <w:rsid w:val="00794D9A"/>
    <w:rsid w:val="00794FF6"/>
    <w:rsid w:val="00795213"/>
    <w:rsid w:val="00795ABC"/>
    <w:rsid w:val="00796197"/>
    <w:rsid w:val="00797030"/>
    <w:rsid w:val="007A0E1C"/>
    <w:rsid w:val="007A11A6"/>
    <w:rsid w:val="007A34EB"/>
    <w:rsid w:val="007A3731"/>
    <w:rsid w:val="007A3C8C"/>
    <w:rsid w:val="007A3D47"/>
    <w:rsid w:val="007A4749"/>
    <w:rsid w:val="007A4C1E"/>
    <w:rsid w:val="007A4F52"/>
    <w:rsid w:val="007A54AA"/>
    <w:rsid w:val="007A5CE9"/>
    <w:rsid w:val="007A60CF"/>
    <w:rsid w:val="007A7241"/>
    <w:rsid w:val="007A7CC1"/>
    <w:rsid w:val="007B1FEF"/>
    <w:rsid w:val="007B244D"/>
    <w:rsid w:val="007B28E4"/>
    <w:rsid w:val="007B3702"/>
    <w:rsid w:val="007B4274"/>
    <w:rsid w:val="007B464F"/>
    <w:rsid w:val="007B479C"/>
    <w:rsid w:val="007B495A"/>
    <w:rsid w:val="007B51EF"/>
    <w:rsid w:val="007B5904"/>
    <w:rsid w:val="007B61F7"/>
    <w:rsid w:val="007B6CAF"/>
    <w:rsid w:val="007B717B"/>
    <w:rsid w:val="007B7604"/>
    <w:rsid w:val="007C06E5"/>
    <w:rsid w:val="007C071C"/>
    <w:rsid w:val="007C0BE7"/>
    <w:rsid w:val="007C0E31"/>
    <w:rsid w:val="007C13B7"/>
    <w:rsid w:val="007C142B"/>
    <w:rsid w:val="007C1684"/>
    <w:rsid w:val="007C1AA7"/>
    <w:rsid w:val="007C248E"/>
    <w:rsid w:val="007C2596"/>
    <w:rsid w:val="007C2A68"/>
    <w:rsid w:val="007C2DA1"/>
    <w:rsid w:val="007C3410"/>
    <w:rsid w:val="007C35DF"/>
    <w:rsid w:val="007C3B32"/>
    <w:rsid w:val="007C3CE2"/>
    <w:rsid w:val="007C4B79"/>
    <w:rsid w:val="007C5ECD"/>
    <w:rsid w:val="007C6AFD"/>
    <w:rsid w:val="007C726B"/>
    <w:rsid w:val="007C7754"/>
    <w:rsid w:val="007C7A3D"/>
    <w:rsid w:val="007C7DA4"/>
    <w:rsid w:val="007C7E50"/>
    <w:rsid w:val="007D0D98"/>
    <w:rsid w:val="007D11EF"/>
    <w:rsid w:val="007D13C6"/>
    <w:rsid w:val="007D16C9"/>
    <w:rsid w:val="007D1C6E"/>
    <w:rsid w:val="007D1E72"/>
    <w:rsid w:val="007D2983"/>
    <w:rsid w:val="007D4BDA"/>
    <w:rsid w:val="007D4D6C"/>
    <w:rsid w:val="007D5ACF"/>
    <w:rsid w:val="007D6387"/>
    <w:rsid w:val="007D66A7"/>
    <w:rsid w:val="007D6A48"/>
    <w:rsid w:val="007D760B"/>
    <w:rsid w:val="007D789E"/>
    <w:rsid w:val="007E083B"/>
    <w:rsid w:val="007E08ED"/>
    <w:rsid w:val="007E0C67"/>
    <w:rsid w:val="007E0F1E"/>
    <w:rsid w:val="007E1128"/>
    <w:rsid w:val="007E1E2E"/>
    <w:rsid w:val="007E2405"/>
    <w:rsid w:val="007E24F6"/>
    <w:rsid w:val="007E2C41"/>
    <w:rsid w:val="007E2FB3"/>
    <w:rsid w:val="007E3732"/>
    <w:rsid w:val="007E38BB"/>
    <w:rsid w:val="007E4509"/>
    <w:rsid w:val="007E45C2"/>
    <w:rsid w:val="007E4911"/>
    <w:rsid w:val="007E4F01"/>
    <w:rsid w:val="007E62BA"/>
    <w:rsid w:val="007E6C40"/>
    <w:rsid w:val="007E74F7"/>
    <w:rsid w:val="007E76FE"/>
    <w:rsid w:val="007F05BD"/>
    <w:rsid w:val="007F06A6"/>
    <w:rsid w:val="007F1226"/>
    <w:rsid w:val="007F28ED"/>
    <w:rsid w:val="007F2A65"/>
    <w:rsid w:val="007F308F"/>
    <w:rsid w:val="007F33C8"/>
    <w:rsid w:val="007F36ED"/>
    <w:rsid w:val="007F3AA0"/>
    <w:rsid w:val="007F4567"/>
    <w:rsid w:val="007F4AC3"/>
    <w:rsid w:val="007F5057"/>
    <w:rsid w:val="007F5279"/>
    <w:rsid w:val="007F5289"/>
    <w:rsid w:val="007F535B"/>
    <w:rsid w:val="007F5AC6"/>
    <w:rsid w:val="007F5E9E"/>
    <w:rsid w:val="007F6142"/>
    <w:rsid w:val="007F6145"/>
    <w:rsid w:val="007F62A8"/>
    <w:rsid w:val="007F6D21"/>
    <w:rsid w:val="007F6F2B"/>
    <w:rsid w:val="007F6F64"/>
    <w:rsid w:val="007F7E10"/>
    <w:rsid w:val="0080070F"/>
    <w:rsid w:val="00800CDB"/>
    <w:rsid w:val="00801403"/>
    <w:rsid w:val="00801804"/>
    <w:rsid w:val="00801875"/>
    <w:rsid w:val="00801AAD"/>
    <w:rsid w:val="00801DF6"/>
    <w:rsid w:val="00802084"/>
    <w:rsid w:val="0080262E"/>
    <w:rsid w:val="00802F37"/>
    <w:rsid w:val="008030D5"/>
    <w:rsid w:val="008030E3"/>
    <w:rsid w:val="0080409C"/>
    <w:rsid w:val="00804725"/>
    <w:rsid w:val="008049D2"/>
    <w:rsid w:val="00804A8F"/>
    <w:rsid w:val="00807796"/>
    <w:rsid w:val="0081104D"/>
    <w:rsid w:val="0081145C"/>
    <w:rsid w:val="00811615"/>
    <w:rsid w:val="00812957"/>
    <w:rsid w:val="00813932"/>
    <w:rsid w:val="00813ACA"/>
    <w:rsid w:val="00813E2E"/>
    <w:rsid w:val="008156C7"/>
    <w:rsid w:val="00816330"/>
    <w:rsid w:val="00816B37"/>
    <w:rsid w:val="00816E54"/>
    <w:rsid w:val="00820B08"/>
    <w:rsid w:val="00820BC0"/>
    <w:rsid w:val="00821BC2"/>
    <w:rsid w:val="0082290A"/>
    <w:rsid w:val="00822A94"/>
    <w:rsid w:val="008240C6"/>
    <w:rsid w:val="00824322"/>
    <w:rsid w:val="008259BA"/>
    <w:rsid w:val="00825AF0"/>
    <w:rsid w:val="008262EC"/>
    <w:rsid w:val="0082630E"/>
    <w:rsid w:val="00826B58"/>
    <w:rsid w:val="008277DD"/>
    <w:rsid w:val="00827831"/>
    <w:rsid w:val="008300BB"/>
    <w:rsid w:val="00830461"/>
    <w:rsid w:val="00830F0A"/>
    <w:rsid w:val="00831435"/>
    <w:rsid w:val="0083279E"/>
    <w:rsid w:val="00832E04"/>
    <w:rsid w:val="008333C5"/>
    <w:rsid w:val="00833CD9"/>
    <w:rsid w:val="00834221"/>
    <w:rsid w:val="00834BE9"/>
    <w:rsid w:val="00834C94"/>
    <w:rsid w:val="00834F0F"/>
    <w:rsid w:val="00835B54"/>
    <w:rsid w:val="00836E98"/>
    <w:rsid w:val="00837066"/>
    <w:rsid w:val="00837179"/>
    <w:rsid w:val="00837CE4"/>
    <w:rsid w:val="00840796"/>
    <w:rsid w:val="00840F2A"/>
    <w:rsid w:val="0084128C"/>
    <w:rsid w:val="00841ADC"/>
    <w:rsid w:val="00842CD8"/>
    <w:rsid w:val="00843818"/>
    <w:rsid w:val="0084385B"/>
    <w:rsid w:val="00843BE3"/>
    <w:rsid w:val="008451E3"/>
    <w:rsid w:val="00845AC1"/>
    <w:rsid w:val="00845DBC"/>
    <w:rsid w:val="0084768F"/>
    <w:rsid w:val="0085064C"/>
    <w:rsid w:val="0085146C"/>
    <w:rsid w:val="008527BA"/>
    <w:rsid w:val="008529D3"/>
    <w:rsid w:val="008530F6"/>
    <w:rsid w:val="00853249"/>
    <w:rsid w:val="008534CD"/>
    <w:rsid w:val="008535AB"/>
    <w:rsid w:val="00853832"/>
    <w:rsid w:val="00853E18"/>
    <w:rsid w:val="008542D9"/>
    <w:rsid w:val="008547CB"/>
    <w:rsid w:val="0085484D"/>
    <w:rsid w:val="00854DEA"/>
    <w:rsid w:val="008554FA"/>
    <w:rsid w:val="00856A7D"/>
    <w:rsid w:val="00856DC8"/>
    <w:rsid w:val="008579CB"/>
    <w:rsid w:val="00857B59"/>
    <w:rsid w:val="00857E12"/>
    <w:rsid w:val="00857FF1"/>
    <w:rsid w:val="008602B4"/>
    <w:rsid w:val="00860E7E"/>
    <w:rsid w:val="00860FB4"/>
    <w:rsid w:val="00861495"/>
    <w:rsid w:val="00861940"/>
    <w:rsid w:val="00861E33"/>
    <w:rsid w:val="0086210C"/>
    <w:rsid w:val="008627B0"/>
    <w:rsid w:val="0086290F"/>
    <w:rsid w:val="00863290"/>
    <w:rsid w:val="008635D6"/>
    <w:rsid w:val="008646B2"/>
    <w:rsid w:val="00865321"/>
    <w:rsid w:val="00866466"/>
    <w:rsid w:val="0086676D"/>
    <w:rsid w:val="0086695C"/>
    <w:rsid w:val="008669AB"/>
    <w:rsid w:val="00866D07"/>
    <w:rsid w:val="008675AA"/>
    <w:rsid w:val="00867BA1"/>
    <w:rsid w:val="00870E54"/>
    <w:rsid w:val="008710D5"/>
    <w:rsid w:val="0087118A"/>
    <w:rsid w:val="00871727"/>
    <w:rsid w:val="00873D7D"/>
    <w:rsid w:val="00875E8A"/>
    <w:rsid w:val="00875EF7"/>
    <w:rsid w:val="00876B70"/>
    <w:rsid w:val="0087780A"/>
    <w:rsid w:val="00877EF5"/>
    <w:rsid w:val="00880B8A"/>
    <w:rsid w:val="00880B8E"/>
    <w:rsid w:val="00881542"/>
    <w:rsid w:val="00881705"/>
    <w:rsid w:val="00881BD3"/>
    <w:rsid w:val="00881C1A"/>
    <w:rsid w:val="00881F5B"/>
    <w:rsid w:val="008820F5"/>
    <w:rsid w:val="00883044"/>
    <w:rsid w:val="0088427D"/>
    <w:rsid w:val="0088497B"/>
    <w:rsid w:val="00885A8C"/>
    <w:rsid w:val="00886032"/>
    <w:rsid w:val="0088613A"/>
    <w:rsid w:val="008878A3"/>
    <w:rsid w:val="00890246"/>
    <w:rsid w:val="008911C2"/>
    <w:rsid w:val="00891264"/>
    <w:rsid w:val="00891462"/>
    <w:rsid w:val="008914BE"/>
    <w:rsid w:val="008916CA"/>
    <w:rsid w:val="00892691"/>
    <w:rsid w:val="0089354C"/>
    <w:rsid w:val="00893CF2"/>
    <w:rsid w:val="008942F6"/>
    <w:rsid w:val="008946F2"/>
    <w:rsid w:val="00894B9F"/>
    <w:rsid w:val="00895594"/>
    <w:rsid w:val="0089596D"/>
    <w:rsid w:val="00897B0A"/>
    <w:rsid w:val="008A0150"/>
    <w:rsid w:val="008A09D5"/>
    <w:rsid w:val="008A1B27"/>
    <w:rsid w:val="008A1FE1"/>
    <w:rsid w:val="008A2F34"/>
    <w:rsid w:val="008A4416"/>
    <w:rsid w:val="008A444C"/>
    <w:rsid w:val="008A5700"/>
    <w:rsid w:val="008A61D2"/>
    <w:rsid w:val="008A6336"/>
    <w:rsid w:val="008A6532"/>
    <w:rsid w:val="008A665E"/>
    <w:rsid w:val="008A684F"/>
    <w:rsid w:val="008A6EE2"/>
    <w:rsid w:val="008A7D1B"/>
    <w:rsid w:val="008B04B3"/>
    <w:rsid w:val="008B07D7"/>
    <w:rsid w:val="008B0855"/>
    <w:rsid w:val="008B0C6A"/>
    <w:rsid w:val="008B1D9D"/>
    <w:rsid w:val="008B256F"/>
    <w:rsid w:val="008B4502"/>
    <w:rsid w:val="008B488E"/>
    <w:rsid w:val="008B4926"/>
    <w:rsid w:val="008B5834"/>
    <w:rsid w:val="008B60C4"/>
    <w:rsid w:val="008B61FA"/>
    <w:rsid w:val="008B6658"/>
    <w:rsid w:val="008B77D4"/>
    <w:rsid w:val="008B7E60"/>
    <w:rsid w:val="008C06D4"/>
    <w:rsid w:val="008C1180"/>
    <w:rsid w:val="008C17A6"/>
    <w:rsid w:val="008C1D32"/>
    <w:rsid w:val="008C2A89"/>
    <w:rsid w:val="008C2D57"/>
    <w:rsid w:val="008C5B09"/>
    <w:rsid w:val="008C6410"/>
    <w:rsid w:val="008C705E"/>
    <w:rsid w:val="008C7703"/>
    <w:rsid w:val="008C7ECD"/>
    <w:rsid w:val="008D0032"/>
    <w:rsid w:val="008D0563"/>
    <w:rsid w:val="008D08D8"/>
    <w:rsid w:val="008D1071"/>
    <w:rsid w:val="008D2045"/>
    <w:rsid w:val="008D23DB"/>
    <w:rsid w:val="008D2609"/>
    <w:rsid w:val="008D29DA"/>
    <w:rsid w:val="008D2DA1"/>
    <w:rsid w:val="008D313B"/>
    <w:rsid w:val="008D31D6"/>
    <w:rsid w:val="008D3210"/>
    <w:rsid w:val="008D336F"/>
    <w:rsid w:val="008D3404"/>
    <w:rsid w:val="008D34FD"/>
    <w:rsid w:val="008D3BB5"/>
    <w:rsid w:val="008D430A"/>
    <w:rsid w:val="008D4459"/>
    <w:rsid w:val="008D4FF1"/>
    <w:rsid w:val="008D535F"/>
    <w:rsid w:val="008D5897"/>
    <w:rsid w:val="008D5C35"/>
    <w:rsid w:val="008D5F44"/>
    <w:rsid w:val="008D6201"/>
    <w:rsid w:val="008D6CF7"/>
    <w:rsid w:val="008D7E5B"/>
    <w:rsid w:val="008E08CD"/>
    <w:rsid w:val="008E08D5"/>
    <w:rsid w:val="008E1496"/>
    <w:rsid w:val="008E24C6"/>
    <w:rsid w:val="008E25F7"/>
    <w:rsid w:val="008E2EFD"/>
    <w:rsid w:val="008E38E7"/>
    <w:rsid w:val="008E3B3F"/>
    <w:rsid w:val="008E4A29"/>
    <w:rsid w:val="008E4A51"/>
    <w:rsid w:val="008E6CE5"/>
    <w:rsid w:val="008E71DF"/>
    <w:rsid w:val="008E742B"/>
    <w:rsid w:val="008F01D5"/>
    <w:rsid w:val="008F0C85"/>
    <w:rsid w:val="008F0CD5"/>
    <w:rsid w:val="008F345F"/>
    <w:rsid w:val="008F4037"/>
    <w:rsid w:val="008F411F"/>
    <w:rsid w:val="008F489E"/>
    <w:rsid w:val="008F5352"/>
    <w:rsid w:val="008F5729"/>
    <w:rsid w:val="008F665F"/>
    <w:rsid w:val="008F6791"/>
    <w:rsid w:val="008F6F0B"/>
    <w:rsid w:val="008F6FA4"/>
    <w:rsid w:val="008F7098"/>
    <w:rsid w:val="008F754D"/>
    <w:rsid w:val="008F77C4"/>
    <w:rsid w:val="00900207"/>
    <w:rsid w:val="00900EFC"/>
    <w:rsid w:val="009012A9"/>
    <w:rsid w:val="00901697"/>
    <w:rsid w:val="0090252C"/>
    <w:rsid w:val="00903192"/>
    <w:rsid w:val="00905D7A"/>
    <w:rsid w:val="009064FF"/>
    <w:rsid w:val="009071B1"/>
    <w:rsid w:val="009072A1"/>
    <w:rsid w:val="00907714"/>
    <w:rsid w:val="00907834"/>
    <w:rsid w:val="00910046"/>
    <w:rsid w:val="00910209"/>
    <w:rsid w:val="00910A03"/>
    <w:rsid w:val="00910DEC"/>
    <w:rsid w:val="00911160"/>
    <w:rsid w:val="00911818"/>
    <w:rsid w:val="00911C08"/>
    <w:rsid w:val="00911EEE"/>
    <w:rsid w:val="009121DA"/>
    <w:rsid w:val="00912747"/>
    <w:rsid w:val="00913133"/>
    <w:rsid w:val="009133F8"/>
    <w:rsid w:val="0091482E"/>
    <w:rsid w:val="009148B2"/>
    <w:rsid w:val="009159DD"/>
    <w:rsid w:val="00915B27"/>
    <w:rsid w:val="009166BC"/>
    <w:rsid w:val="00917529"/>
    <w:rsid w:val="0091763A"/>
    <w:rsid w:val="009177F8"/>
    <w:rsid w:val="009179A8"/>
    <w:rsid w:val="0092145E"/>
    <w:rsid w:val="00921D8D"/>
    <w:rsid w:val="0092282B"/>
    <w:rsid w:val="00922C3A"/>
    <w:rsid w:val="009237FB"/>
    <w:rsid w:val="009238BF"/>
    <w:rsid w:val="00923AAF"/>
    <w:rsid w:val="00924CC4"/>
    <w:rsid w:val="00925915"/>
    <w:rsid w:val="00925D55"/>
    <w:rsid w:val="0092640A"/>
    <w:rsid w:val="009303E4"/>
    <w:rsid w:val="009312B4"/>
    <w:rsid w:val="0093260B"/>
    <w:rsid w:val="00932842"/>
    <w:rsid w:val="0093371C"/>
    <w:rsid w:val="00933930"/>
    <w:rsid w:val="00934025"/>
    <w:rsid w:val="00934970"/>
    <w:rsid w:val="009349CB"/>
    <w:rsid w:val="00934ABF"/>
    <w:rsid w:val="00934D85"/>
    <w:rsid w:val="0093580C"/>
    <w:rsid w:val="0093581F"/>
    <w:rsid w:val="00935A8B"/>
    <w:rsid w:val="00935B52"/>
    <w:rsid w:val="00935BE7"/>
    <w:rsid w:val="00935E32"/>
    <w:rsid w:val="00937789"/>
    <w:rsid w:val="009379AB"/>
    <w:rsid w:val="00940BA5"/>
    <w:rsid w:val="00940EA1"/>
    <w:rsid w:val="00941DFA"/>
    <w:rsid w:val="00942606"/>
    <w:rsid w:val="009428CA"/>
    <w:rsid w:val="00942B8A"/>
    <w:rsid w:val="00942F3B"/>
    <w:rsid w:val="00943946"/>
    <w:rsid w:val="00943982"/>
    <w:rsid w:val="009447A5"/>
    <w:rsid w:val="00945490"/>
    <w:rsid w:val="0094624F"/>
    <w:rsid w:val="00946839"/>
    <w:rsid w:val="009473F1"/>
    <w:rsid w:val="00947552"/>
    <w:rsid w:val="00947EDB"/>
    <w:rsid w:val="00951D8C"/>
    <w:rsid w:val="00952ACC"/>
    <w:rsid w:val="00953055"/>
    <w:rsid w:val="00954361"/>
    <w:rsid w:val="00955272"/>
    <w:rsid w:val="009561B9"/>
    <w:rsid w:val="0096004B"/>
    <w:rsid w:val="0096082F"/>
    <w:rsid w:val="00960E03"/>
    <w:rsid w:val="00961151"/>
    <w:rsid w:val="00961180"/>
    <w:rsid w:val="009611AB"/>
    <w:rsid w:val="00961383"/>
    <w:rsid w:val="009619F1"/>
    <w:rsid w:val="00961BD5"/>
    <w:rsid w:val="0096299A"/>
    <w:rsid w:val="00962F7E"/>
    <w:rsid w:val="0096314F"/>
    <w:rsid w:val="00963206"/>
    <w:rsid w:val="00963C51"/>
    <w:rsid w:val="009645BD"/>
    <w:rsid w:val="00964B02"/>
    <w:rsid w:val="00964CC2"/>
    <w:rsid w:val="00964F61"/>
    <w:rsid w:val="009656F6"/>
    <w:rsid w:val="00966204"/>
    <w:rsid w:val="00966737"/>
    <w:rsid w:val="00967315"/>
    <w:rsid w:val="0096779F"/>
    <w:rsid w:val="0097014B"/>
    <w:rsid w:val="0097054C"/>
    <w:rsid w:val="00971257"/>
    <w:rsid w:val="00971593"/>
    <w:rsid w:val="00971B8E"/>
    <w:rsid w:val="009741EE"/>
    <w:rsid w:val="00976613"/>
    <w:rsid w:val="00976765"/>
    <w:rsid w:val="0097736E"/>
    <w:rsid w:val="00977C21"/>
    <w:rsid w:val="009800B5"/>
    <w:rsid w:val="00980B52"/>
    <w:rsid w:val="009813F9"/>
    <w:rsid w:val="00981702"/>
    <w:rsid w:val="0098236E"/>
    <w:rsid w:val="009823AE"/>
    <w:rsid w:val="00982D68"/>
    <w:rsid w:val="00984A4D"/>
    <w:rsid w:val="00986CD8"/>
    <w:rsid w:val="009919A0"/>
    <w:rsid w:val="00991F60"/>
    <w:rsid w:val="0099338E"/>
    <w:rsid w:val="009934DA"/>
    <w:rsid w:val="00993CFD"/>
    <w:rsid w:val="009969C8"/>
    <w:rsid w:val="009970E3"/>
    <w:rsid w:val="00997221"/>
    <w:rsid w:val="009A0198"/>
    <w:rsid w:val="009A0510"/>
    <w:rsid w:val="009A0572"/>
    <w:rsid w:val="009A10BB"/>
    <w:rsid w:val="009A1126"/>
    <w:rsid w:val="009A1148"/>
    <w:rsid w:val="009A1CCA"/>
    <w:rsid w:val="009A1D4C"/>
    <w:rsid w:val="009A2120"/>
    <w:rsid w:val="009A300E"/>
    <w:rsid w:val="009A3DDC"/>
    <w:rsid w:val="009A4004"/>
    <w:rsid w:val="009A4774"/>
    <w:rsid w:val="009A5061"/>
    <w:rsid w:val="009A72F7"/>
    <w:rsid w:val="009B0308"/>
    <w:rsid w:val="009B08AE"/>
    <w:rsid w:val="009B1506"/>
    <w:rsid w:val="009B26BD"/>
    <w:rsid w:val="009B2E91"/>
    <w:rsid w:val="009B34A6"/>
    <w:rsid w:val="009B39C9"/>
    <w:rsid w:val="009B5213"/>
    <w:rsid w:val="009B5B99"/>
    <w:rsid w:val="009B5BFB"/>
    <w:rsid w:val="009B6089"/>
    <w:rsid w:val="009B62F3"/>
    <w:rsid w:val="009B6982"/>
    <w:rsid w:val="009B6984"/>
    <w:rsid w:val="009B6C72"/>
    <w:rsid w:val="009B75B6"/>
    <w:rsid w:val="009B7C34"/>
    <w:rsid w:val="009B7F2F"/>
    <w:rsid w:val="009C0118"/>
    <w:rsid w:val="009C1945"/>
    <w:rsid w:val="009C23AA"/>
    <w:rsid w:val="009C2592"/>
    <w:rsid w:val="009C326E"/>
    <w:rsid w:val="009C40D7"/>
    <w:rsid w:val="009C443F"/>
    <w:rsid w:val="009C453D"/>
    <w:rsid w:val="009C4C19"/>
    <w:rsid w:val="009C5A69"/>
    <w:rsid w:val="009C7CF0"/>
    <w:rsid w:val="009D0D03"/>
    <w:rsid w:val="009D0D5F"/>
    <w:rsid w:val="009D17E7"/>
    <w:rsid w:val="009D2BC0"/>
    <w:rsid w:val="009D30E4"/>
    <w:rsid w:val="009D30F9"/>
    <w:rsid w:val="009D38C6"/>
    <w:rsid w:val="009D4087"/>
    <w:rsid w:val="009D4472"/>
    <w:rsid w:val="009D4C61"/>
    <w:rsid w:val="009D4D94"/>
    <w:rsid w:val="009D4F81"/>
    <w:rsid w:val="009D5627"/>
    <w:rsid w:val="009D59CA"/>
    <w:rsid w:val="009D7477"/>
    <w:rsid w:val="009E01AA"/>
    <w:rsid w:val="009E069F"/>
    <w:rsid w:val="009E1205"/>
    <w:rsid w:val="009E1E06"/>
    <w:rsid w:val="009E25B8"/>
    <w:rsid w:val="009E27B3"/>
    <w:rsid w:val="009E27EC"/>
    <w:rsid w:val="009E30AD"/>
    <w:rsid w:val="009E31BB"/>
    <w:rsid w:val="009E33CB"/>
    <w:rsid w:val="009E3B85"/>
    <w:rsid w:val="009E3E27"/>
    <w:rsid w:val="009E428D"/>
    <w:rsid w:val="009E42C2"/>
    <w:rsid w:val="009E5111"/>
    <w:rsid w:val="009E530A"/>
    <w:rsid w:val="009E56A0"/>
    <w:rsid w:val="009E5B0F"/>
    <w:rsid w:val="009E69C8"/>
    <w:rsid w:val="009E6B2B"/>
    <w:rsid w:val="009E6FD0"/>
    <w:rsid w:val="009E766C"/>
    <w:rsid w:val="009E7994"/>
    <w:rsid w:val="009F014D"/>
    <w:rsid w:val="009F0872"/>
    <w:rsid w:val="009F0CB7"/>
    <w:rsid w:val="009F1BB1"/>
    <w:rsid w:val="009F2589"/>
    <w:rsid w:val="009F295B"/>
    <w:rsid w:val="009F3194"/>
    <w:rsid w:val="009F38FF"/>
    <w:rsid w:val="009F3F81"/>
    <w:rsid w:val="009F4882"/>
    <w:rsid w:val="009F48D2"/>
    <w:rsid w:val="009F4D00"/>
    <w:rsid w:val="009F58AD"/>
    <w:rsid w:val="009F6000"/>
    <w:rsid w:val="009F60F3"/>
    <w:rsid w:val="009F6633"/>
    <w:rsid w:val="009F689D"/>
    <w:rsid w:val="009F7346"/>
    <w:rsid w:val="009F7771"/>
    <w:rsid w:val="00A003FB"/>
    <w:rsid w:val="00A01548"/>
    <w:rsid w:val="00A01790"/>
    <w:rsid w:val="00A021A0"/>
    <w:rsid w:val="00A021E4"/>
    <w:rsid w:val="00A02A29"/>
    <w:rsid w:val="00A0328F"/>
    <w:rsid w:val="00A0329F"/>
    <w:rsid w:val="00A03FBC"/>
    <w:rsid w:val="00A04178"/>
    <w:rsid w:val="00A04430"/>
    <w:rsid w:val="00A04858"/>
    <w:rsid w:val="00A048E6"/>
    <w:rsid w:val="00A05980"/>
    <w:rsid w:val="00A0629E"/>
    <w:rsid w:val="00A064B7"/>
    <w:rsid w:val="00A06D5D"/>
    <w:rsid w:val="00A07079"/>
    <w:rsid w:val="00A07976"/>
    <w:rsid w:val="00A07C2D"/>
    <w:rsid w:val="00A07EDD"/>
    <w:rsid w:val="00A10487"/>
    <w:rsid w:val="00A10554"/>
    <w:rsid w:val="00A10C3D"/>
    <w:rsid w:val="00A10D92"/>
    <w:rsid w:val="00A113A9"/>
    <w:rsid w:val="00A120AE"/>
    <w:rsid w:val="00A12167"/>
    <w:rsid w:val="00A122DC"/>
    <w:rsid w:val="00A12375"/>
    <w:rsid w:val="00A12991"/>
    <w:rsid w:val="00A12D86"/>
    <w:rsid w:val="00A12F17"/>
    <w:rsid w:val="00A13403"/>
    <w:rsid w:val="00A136D5"/>
    <w:rsid w:val="00A13CC1"/>
    <w:rsid w:val="00A1448D"/>
    <w:rsid w:val="00A1539C"/>
    <w:rsid w:val="00A170BA"/>
    <w:rsid w:val="00A20950"/>
    <w:rsid w:val="00A20E6F"/>
    <w:rsid w:val="00A20F8D"/>
    <w:rsid w:val="00A213D7"/>
    <w:rsid w:val="00A2146B"/>
    <w:rsid w:val="00A2152C"/>
    <w:rsid w:val="00A216E7"/>
    <w:rsid w:val="00A224B0"/>
    <w:rsid w:val="00A22618"/>
    <w:rsid w:val="00A2262E"/>
    <w:rsid w:val="00A226CA"/>
    <w:rsid w:val="00A23626"/>
    <w:rsid w:val="00A244B6"/>
    <w:rsid w:val="00A24B98"/>
    <w:rsid w:val="00A25445"/>
    <w:rsid w:val="00A25DB6"/>
    <w:rsid w:val="00A26312"/>
    <w:rsid w:val="00A26B00"/>
    <w:rsid w:val="00A26CC5"/>
    <w:rsid w:val="00A26CE2"/>
    <w:rsid w:val="00A27066"/>
    <w:rsid w:val="00A27D7C"/>
    <w:rsid w:val="00A302FF"/>
    <w:rsid w:val="00A31441"/>
    <w:rsid w:val="00A319B8"/>
    <w:rsid w:val="00A32CAD"/>
    <w:rsid w:val="00A32E31"/>
    <w:rsid w:val="00A33553"/>
    <w:rsid w:val="00A34829"/>
    <w:rsid w:val="00A3505F"/>
    <w:rsid w:val="00A35128"/>
    <w:rsid w:val="00A35A6D"/>
    <w:rsid w:val="00A35B3D"/>
    <w:rsid w:val="00A36844"/>
    <w:rsid w:val="00A36A0B"/>
    <w:rsid w:val="00A36AB5"/>
    <w:rsid w:val="00A3705A"/>
    <w:rsid w:val="00A37A90"/>
    <w:rsid w:val="00A400FA"/>
    <w:rsid w:val="00A40376"/>
    <w:rsid w:val="00A407FE"/>
    <w:rsid w:val="00A427C4"/>
    <w:rsid w:val="00A43885"/>
    <w:rsid w:val="00A443C8"/>
    <w:rsid w:val="00A445B6"/>
    <w:rsid w:val="00A44E57"/>
    <w:rsid w:val="00A44EC0"/>
    <w:rsid w:val="00A45335"/>
    <w:rsid w:val="00A453ED"/>
    <w:rsid w:val="00A45F97"/>
    <w:rsid w:val="00A46179"/>
    <w:rsid w:val="00A47202"/>
    <w:rsid w:val="00A4737B"/>
    <w:rsid w:val="00A47453"/>
    <w:rsid w:val="00A47546"/>
    <w:rsid w:val="00A47770"/>
    <w:rsid w:val="00A478ED"/>
    <w:rsid w:val="00A4793D"/>
    <w:rsid w:val="00A504F3"/>
    <w:rsid w:val="00A50666"/>
    <w:rsid w:val="00A5177A"/>
    <w:rsid w:val="00A518D7"/>
    <w:rsid w:val="00A51F54"/>
    <w:rsid w:val="00A52428"/>
    <w:rsid w:val="00A52E39"/>
    <w:rsid w:val="00A52F6C"/>
    <w:rsid w:val="00A5385A"/>
    <w:rsid w:val="00A53C12"/>
    <w:rsid w:val="00A53D74"/>
    <w:rsid w:val="00A5562E"/>
    <w:rsid w:val="00A55AFC"/>
    <w:rsid w:val="00A55BF9"/>
    <w:rsid w:val="00A5609C"/>
    <w:rsid w:val="00A56859"/>
    <w:rsid w:val="00A56AA8"/>
    <w:rsid w:val="00A57F12"/>
    <w:rsid w:val="00A608F4"/>
    <w:rsid w:val="00A609E8"/>
    <w:rsid w:val="00A61333"/>
    <w:rsid w:val="00A621D8"/>
    <w:rsid w:val="00A62A31"/>
    <w:rsid w:val="00A6332B"/>
    <w:rsid w:val="00A6398C"/>
    <w:rsid w:val="00A65259"/>
    <w:rsid w:val="00A653E5"/>
    <w:rsid w:val="00A6584C"/>
    <w:rsid w:val="00A66190"/>
    <w:rsid w:val="00A6693A"/>
    <w:rsid w:val="00A66B05"/>
    <w:rsid w:val="00A66FCF"/>
    <w:rsid w:val="00A6733C"/>
    <w:rsid w:val="00A67681"/>
    <w:rsid w:val="00A67F06"/>
    <w:rsid w:val="00A713C3"/>
    <w:rsid w:val="00A714C4"/>
    <w:rsid w:val="00A71F07"/>
    <w:rsid w:val="00A724AF"/>
    <w:rsid w:val="00A727D3"/>
    <w:rsid w:val="00A72C3E"/>
    <w:rsid w:val="00A72C40"/>
    <w:rsid w:val="00A72D4D"/>
    <w:rsid w:val="00A74516"/>
    <w:rsid w:val="00A749EA"/>
    <w:rsid w:val="00A74A09"/>
    <w:rsid w:val="00A75086"/>
    <w:rsid w:val="00A75089"/>
    <w:rsid w:val="00A752AD"/>
    <w:rsid w:val="00A765EE"/>
    <w:rsid w:val="00A777D7"/>
    <w:rsid w:val="00A77B22"/>
    <w:rsid w:val="00A77BED"/>
    <w:rsid w:val="00A80911"/>
    <w:rsid w:val="00A8105B"/>
    <w:rsid w:val="00A81699"/>
    <w:rsid w:val="00A817FE"/>
    <w:rsid w:val="00A81CC8"/>
    <w:rsid w:val="00A82A8A"/>
    <w:rsid w:val="00A834AA"/>
    <w:rsid w:val="00A83AD9"/>
    <w:rsid w:val="00A83BCA"/>
    <w:rsid w:val="00A840C1"/>
    <w:rsid w:val="00A842C7"/>
    <w:rsid w:val="00A852F1"/>
    <w:rsid w:val="00A86BCA"/>
    <w:rsid w:val="00A8745F"/>
    <w:rsid w:val="00A9178F"/>
    <w:rsid w:val="00A91DD0"/>
    <w:rsid w:val="00A922D9"/>
    <w:rsid w:val="00A92623"/>
    <w:rsid w:val="00A9273E"/>
    <w:rsid w:val="00A93329"/>
    <w:rsid w:val="00A93431"/>
    <w:rsid w:val="00A93483"/>
    <w:rsid w:val="00A93B3C"/>
    <w:rsid w:val="00A93C2A"/>
    <w:rsid w:val="00A95EAB"/>
    <w:rsid w:val="00A9614A"/>
    <w:rsid w:val="00A963D7"/>
    <w:rsid w:val="00A969EC"/>
    <w:rsid w:val="00A96ABF"/>
    <w:rsid w:val="00A96D61"/>
    <w:rsid w:val="00AA10AB"/>
    <w:rsid w:val="00AA1766"/>
    <w:rsid w:val="00AA332C"/>
    <w:rsid w:val="00AA3D2C"/>
    <w:rsid w:val="00AA4A25"/>
    <w:rsid w:val="00AA529A"/>
    <w:rsid w:val="00AA5517"/>
    <w:rsid w:val="00AA6710"/>
    <w:rsid w:val="00AA67C4"/>
    <w:rsid w:val="00AA702F"/>
    <w:rsid w:val="00AA77F7"/>
    <w:rsid w:val="00AA7C6A"/>
    <w:rsid w:val="00AA7FB3"/>
    <w:rsid w:val="00AB0604"/>
    <w:rsid w:val="00AB0849"/>
    <w:rsid w:val="00AB0955"/>
    <w:rsid w:val="00AB1394"/>
    <w:rsid w:val="00AB22A4"/>
    <w:rsid w:val="00AB2AB0"/>
    <w:rsid w:val="00AB2B1B"/>
    <w:rsid w:val="00AB305D"/>
    <w:rsid w:val="00AB355B"/>
    <w:rsid w:val="00AB3A70"/>
    <w:rsid w:val="00AB3F87"/>
    <w:rsid w:val="00AB40A1"/>
    <w:rsid w:val="00AB4BF4"/>
    <w:rsid w:val="00AB4D91"/>
    <w:rsid w:val="00AB51E7"/>
    <w:rsid w:val="00AB6C6E"/>
    <w:rsid w:val="00AB7461"/>
    <w:rsid w:val="00AB74DE"/>
    <w:rsid w:val="00AB7BF5"/>
    <w:rsid w:val="00AB7F9B"/>
    <w:rsid w:val="00AC0D85"/>
    <w:rsid w:val="00AC1D42"/>
    <w:rsid w:val="00AC1D7F"/>
    <w:rsid w:val="00AC1F90"/>
    <w:rsid w:val="00AC3251"/>
    <w:rsid w:val="00AC3B6D"/>
    <w:rsid w:val="00AC4151"/>
    <w:rsid w:val="00AC41F4"/>
    <w:rsid w:val="00AC4426"/>
    <w:rsid w:val="00AC44D0"/>
    <w:rsid w:val="00AC462C"/>
    <w:rsid w:val="00AC481E"/>
    <w:rsid w:val="00AC4F51"/>
    <w:rsid w:val="00AC561E"/>
    <w:rsid w:val="00AC5DEF"/>
    <w:rsid w:val="00AC6A37"/>
    <w:rsid w:val="00AC729B"/>
    <w:rsid w:val="00AC731E"/>
    <w:rsid w:val="00AC7E07"/>
    <w:rsid w:val="00AD04A7"/>
    <w:rsid w:val="00AD1223"/>
    <w:rsid w:val="00AD15C5"/>
    <w:rsid w:val="00AD1A4A"/>
    <w:rsid w:val="00AD1AA5"/>
    <w:rsid w:val="00AD1C5F"/>
    <w:rsid w:val="00AD20CA"/>
    <w:rsid w:val="00AD2809"/>
    <w:rsid w:val="00AD28AE"/>
    <w:rsid w:val="00AD29B4"/>
    <w:rsid w:val="00AD2D99"/>
    <w:rsid w:val="00AD3506"/>
    <w:rsid w:val="00AD3540"/>
    <w:rsid w:val="00AD37E6"/>
    <w:rsid w:val="00AD3CDF"/>
    <w:rsid w:val="00AD4444"/>
    <w:rsid w:val="00AD4CFB"/>
    <w:rsid w:val="00AD4D07"/>
    <w:rsid w:val="00AD4F78"/>
    <w:rsid w:val="00AD54B7"/>
    <w:rsid w:val="00AD601B"/>
    <w:rsid w:val="00AD6B6F"/>
    <w:rsid w:val="00AD6F2F"/>
    <w:rsid w:val="00AD7E44"/>
    <w:rsid w:val="00AD7F83"/>
    <w:rsid w:val="00AE00F8"/>
    <w:rsid w:val="00AE0F13"/>
    <w:rsid w:val="00AE115D"/>
    <w:rsid w:val="00AE2006"/>
    <w:rsid w:val="00AE2DDB"/>
    <w:rsid w:val="00AE42EE"/>
    <w:rsid w:val="00AE4682"/>
    <w:rsid w:val="00AE47B3"/>
    <w:rsid w:val="00AE4F63"/>
    <w:rsid w:val="00AE5389"/>
    <w:rsid w:val="00AE6A85"/>
    <w:rsid w:val="00AE6E53"/>
    <w:rsid w:val="00AE714B"/>
    <w:rsid w:val="00AE7C9E"/>
    <w:rsid w:val="00AF01A4"/>
    <w:rsid w:val="00AF0843"/>
    <w:rsid w:val="00AF0AE1"/>
    <w:rsid w:val="00AF0CBF"/>
    <w:rsid w:val="00AF1156"/>
    <w:rsid w:val="00AF1550"/>
    <w:rsid w:val="00AF19A8"/>
    <w:rsid w:val="00AF1DCA"/>
    <w:rsid w:val="00AF2EF6"/>
    <w:rsid w:val="00AF3785"/>
    <w:rsid w:val="00AF39B9"/>
    <w:rsid w:val="00AF3C38"/>
    <w:rsid w:val="00AF415A"/>
    <w:rsid w:val="00AF4365"/>
    <w:rsid w:val="00AF4A05"/>
    <w:rsid w:val="00AF4AB5"/>
    <w:rsid w:val="00AF4C32"/>
    <w:rsid w:val="00AF4DBD"/>
    <w:rsid w:val="00AF56F9"/>
    <w:rsid w:val="00AF632F"/>
    <w:rsid w:val="00AF6573"/>
    <w:rsid w:val="00AF66D9"/>
    <w:rsid w:val="00AF728A"/>
    <w:rsid w:val="00AF7344"/>
    <w:rsid w:val="00B00595"/>
    <w:rsid w:val="00B00970"/>
    <w:rsid w:val="00B00ADF"/>
    <w:rsid w:val="00B018C2"/>
    <w:rsid w:val="00B01EA1"/>
    <w:rsid w:val="00B02B2B"/>
    <w:rsid w:val="00B034F2"/>
    <w:rsid w:val="00B036C1"/>
    <w:rsid w:val="00B03852"/>
    <w:rsid w:val="00B04132"/>
    <w:rsid w:val="00B04838"/>
    <w:rsid w:val="00B04B52"/>
    <w:rsid w:val="00B04F55"/>
    <w:rsid w:val="00B05360"/>
    <w:rsid w:val="00B058E5"/>
    <w:rsid w:val="00B05B78"/>
    <w:rsid w:val="00B06261"/>
    <w:rsid w:val="00B06448"/>
    <w:rsid w:val="00B06F65"/>
    <w:rsid w:val="00B07696"/>
    <w:rsid w:val="00B079B9"/>
    <w:rsid w:val="00B10094"/>
    <w:rsid w:val="00B10448"/>
    <w:rsid w:val="00B10522"/>
    <w:rsid w:val="00B10EAA"/>
    <w:rsid w:val="00B1111F"/>
    <w:rsid w:val="00B1209B"/>
    <w:rsid w:val="00B13360"/>
    <w:rsid w:val="00B13559"/>
    <w:rsid w:val="00B135D3"/>
    <w:rsid w:val="00B139E0"/>
    <w:rsid w:val="00B14FD4"/>
    <w:rsid w:val="00B15370"/>
    <w:rsid w:val="00B15447"/>
    <w:rsid w:val="00B15771"/>
    <w:rsid w:val="00B15F45"/>
    <w:rsid w:val="00B167C6"/>
    <w:rsid w:val="00B17476"/>
    <w:rsid w:val="00B200D4"/>
    <w:rsid w:val="00B210C9"/>
    <w:rsid w:val="00B21DE9"/>
    <w:rsid w:val="00B23339"/>
    <w:rsid w:val="00B23430"/>
    <w:rsid w:val="00B23A70"/>
    <w:rsid w:val="00B23F89"/>
    <w:rsid w:val="00B241F2"/>
    <w:rsid w:val="00B24274"/>
    <w:rsid w:val="00B2491B"/>
    <w:rsid w:val="00B24E64"/>
    <w:rsid w:val="00B25D3C"/>
    <w:rsid w:val="00B25E69"/>
    <w:rsid w:val="00B2620A"/>
    <w:rsid w:val="00B27E73"/>
    <w:rsid w:val="00B30106"/>
    <w:rsid w:val="00B30550"/>
    <w:rsid w:val="00B3084F"/>
    <w:rsid w:val="00B30A90"/>
    <w:rsid w:val="00B30AAE"/>
    <w:rsid w:val="00B3214E"/>
    <w:rsid w:val="00B32220"/>
    <w:rsid w:val="00B32243"/>
    <w:rsid w:val="00B3270F"/>
    <w:rsid w:val="00B32C30"/>
    <w:rsid w:val="00B33AFA"/>
    <w:rsid w:val="00B35468"/>
    <w:rsid w:val="00B35E96"/>
    <w:rsid w:val="00B35F93"/>
    <w:rsid w:val="00B36B45"/>
    <w:rsid w:val="00B37C50"/>
    <w:rsid w:val="00B37CF4"/>
    <w:rsid w:val="00B4092B"/>
    <w:rsid w:val="00B40D6F"/>
    <w:rsid w:val="00B411A8"/>
    <w:rsid w:val="00B4131A"/>
    <w:rsid w:val="00B41758"/>
    <w:rsid w:val="00B42359"/>
    <w:rsid w:val="00B4277F"/>
    <w:rsid w:val="00B42F2F"/>
    <w:rsid w:val="00B430BB"/>
    <w:rsid w:val="00B43503"/>
    <w:rsid w:val="00B439C9"/>
    <w:rsid w:val="00B44221"/>
    <w:rsid w:val="00B44264"/>
    <w:rsid w:val="00B442F1"/>
    <w:rsid w:val="00B455DE"/>
    <w:rsid w:val="00B457A6"/>
    <w:rsid w:val="00B47DAB"/>
    <w:rsid w:val="00B51CFD"/>
    <w:rsid w:val="00B52059"/>
    <w:rsid w:val="00B52569"/>
    <w:rsid w:val="00B52DA6"/>
    <w:rsid w:val="00B5311C"/>
    <w:rsid w:val="00B5339E"/>
    <w:rsid w:val="00B539CB"/>
    <w:rsid w:val="00B53DB0"/>
    <w:rsid w:val="00B54833"/>
    <w:rsid w:val="00B54C67"/>
    <w:rsid w:val="00B55825"/>
    <w:rsid w:val="00B55B5E"/>
    <w:rsid w:val="00B55BC8"/>
    <w:rsid w:val="00B55C8C"/>
    <w:rsid w:val="00B56574"/>
    <w:rsid w:val="00B565C2"/>
    <w:rsid w:val="00B56A5E"/>
    <w:rsid w:val="00B57173"/>
    <w:rsid w:val="00B57B36"/>
    <w:rsid w:val="00B60ACF"/>
    <w:rsid w:val="00B60F36"/>
    <w:rsid w:val="00B61315"/>
    <w:rsid w:val="00B62810"/>
    <w:rsid w:val="00B6302E"/>
    <w:rsid w:val="00B6330F"/>
    <w:rsid w:val="00B64CE3"/>
    <w:rsid w:val="00B65070"/>
    <w:rsid w:val="00B650ED"/>
    <w:rsid w:val="00B6544D"/>
    <w:rsid w:val="00B65719"/>
    <w:rsid w:val="00B65AB2"/>
    <w:rsid w:val="00B65C7A"/>
    <w:rsid w:val="00B66184"/>
    <w:rsid w:val="00B6664C"/>
    <w:rsid w:val="00B66A47"/>
    <w:rsid w:val="00B673EB"/>
    <w:rsid w:val="00B7006C"/>
    <w:rsid w:val="00B7033B"/>
    <w:rsid w:val="00B70584"/>
    <w:rsid w:val="00B720A5"/>
    <w:rsid w:val="00B74280"/>
    <w:rsid w:val="00B753F2"/>
    <w:rsid w:val="00B7540A"/>
    <w:rsid w:val="00B754B2"/>
    <w:rsid w:val="00B75559"/>
    <w:rsid w:val="00B76101"/>
    <w:rsid w:val="00B76187"/>
    <w:rsid w:val="00B7673A"/>
    <w:rsid w:val="00B773FD"/>
    <w:rsid w:val="00B775F0"/>
    <w:rsid w:val="00B7797A"/>
    <w:rsid w:val="00B77989"/>
    <w:rsid w:val="00B779B9"/>
    <w:rsid w:val="00B77C98"/>
    <w:rsid w:val="00B81106"/>
    <w:rsid w:val="00B81B5D"/>
    <w:rsid w:val="00B83465"/>
    <w:rsid w:val="00B838F8"/>
    <w:rsid w:val="00B84688"/>
    <w:rsid w:val="00B84D65"/>
    <w:rsid w:val="00B862B1"/>
    <w:rsid w:val="00B86355"/>
    <w:rsid w:val="00B86B37"/>
    <w:rsid w:val="00B87F08"/>
    <w:rsid w:val="00B87FBD"/>
    <w:rsid w:val="00B90F2F"/>
    <w:rsid w:val="00B91A1E"/>
    <w:rsid w:val="00B92DEC"/>
    <w:rsid w:val="00B934AB"/>
    <w:rsid w:val="00B941C7"/>
    <w:rsid w:val="00B9463A"/>
    <w:rsid w:val="00B94A00"/>
    <w:rsid w:val="00B954D1"/>
    <w:rsid w:val="00B95D63"/>
    <w:rsid w:val="00B96073"/>
    <w:rsid w:val="00B96A9C"/>
    <w:rsid w:val="00B96BCA"/>
    <w:rsid w:val="00B96C0E"/>
    <w:rsid w:val="00B96E45"/>
    <w:rsid w:val="00B97089"/>
    <w:rsid w:val="00B97B8D"/>
    <w:rsid w:val="00BA01A9"/>
    <w:rsid w:val="00BA02EB"/>
    <w:rsid w:val="00BA21EA"/>
    <w:rsid w:val="00BA3004"/>
    <w:rsid w:val="00BA34A0"/>
    <w:rsid w:val="00BA355F"/>
    <w:rsid w:val="00BA3A42"/>
    <w:rsid w:val="00BA3E73"/>
    <w:rsid w:val="00BA3F60"/>
    <w:rsid w:val="00BA4721"/>
    <w:rsid w:val="00BA5B9F"/>
    <w:rsid w:val="00BA6977"/>
    <w:rsid w:val="00BA6DF0"/>
    <w:rsid w:val="00BA6E9D"/>
    <w:rsid w:val="00BA7872"/>
    <w:rsid w:val="00BA7BD8"/>
    <w:rsid w:val="00BA7DB2"/>
    <w:rsid w:val="00BB0631"/>
    <w:rsid w:val="00BB0E80"/>
    <w:rsid w:val="00BB148A"/>
    <w:rsid w:val="00BB196F"/>
    <w:rsid w:val="00BB20FE"/>
    <w:rsid w:val="00BB2574"/>
    <w:rsid w:val="00BB26E0"/>
    <w:rsid w:val="00BB27D7"/>
    <w:rsid w:val="00BB318B"/>
    <w:rsid w:val="00BB31C5"/>
    <w:rsid w:val="00BB323B"/>
    <w:rsid w:val="00BB329E"/>
    <w:rsid w:val="00BB3443"/>
    <w:rsid w:val="00BB3DF0"/>
    <w:rsid w:val="00BB44C1"/>
    <w:rsid w:val="00BB4B89"/>
    <w:rsid w:val="00BB59D1"/>
    <w:rsid w:val="00BB60F6"/>
    <w:rsid w:val="00BB7307"/>
    <w:rsid w:val="00BB74A9"/>
    <w:rsid w:val="00BB7E8E"/>
    <w:rsid w:val="00BC1557"/>
    <w:rsid w:val="00BC17F7"/>
    <w:rsid w:val="00BC1807"/>
    <w:rsid w:val="00BC20D4"/>
    <w:rsid w:val="00BC2F51"/>
    <w:rsid w:val="00BC3102"/>
    <w:rsid w:val="00BC3BEF"/>
    <w:rsid w:val="00BC3C75"/>
    <w:rsid w:val="00BC4BFC"/>
    <w:rsid w:val="00BC4C29"/>
    <w:rsid w:val="00BC6EB7"/>
    <w:rsid w:val="00BC77C0"/>
    <w:rsid w:val="00BC7E80"/>
    <w:rsid w:val="00BD038B"/>
    <w:rsid w:val="00BD04A3"/>
    <w:rsid w:val="00BD0515"/>
    <w:rsid w:val="00BD08D1"/>
    <w:rsid w:val="00BD08F2"/>
    <w:rsid w:val="00BD1919"/>
    <w:rsid w:val="00BD1DC5"/>
    <w:rsid w:val="00BD1F0A"/>
    <w:rsid w:val="00BD2D0E"/>
    <w:rsid w:val="00BD3145"/>
    <w:rsid w:val="00BD4078"/>
    <w:rsid w:val="00BD4C2F"/>
    <w:rsid w:val="00BD4C9B"/>
    <w:rsid w:val="00BD51A0"/>
    <w:rsid w:val="00BD63D1"/>
    <w:rsid w:val="00BD647B"/>
    <w:rsid w:val="00BD6E32"/>
    <w:rsid w:val="00BD7591"/>
    <w:rsid w:val="00BE027F"/>
    <w:rsid w:val="00BE0583"/>
    <w:rsid w:val="00BE05E2"/>
    <w:rsid w:val="00BE0BCE"/>
    <w:rsid w:val="00BE0E0F"/>
    <w:rsid w:val="00BE1E42"/>
    <w:rsid w:val="00BE3381"/>
    <w:rsid w:val="00BE400F"/>
    <w:rsid w:val="00BE472C"/>
    <w:rsid w:val="00BE47D4"/>
    <w:rsid w:val="00BE556D"/>
    <w:rsid w:val="00BE5DBE"/>
    <w:rsid w:val="00BE5E58"/>
    <w:rsid w:val="00BE63D4"/>
    <w:rsid w:val="00BE63EE"/>
    <w:rsid w:val="00BE694F"/>
    <w:rsid w:val="00BE75E5"/>
    <w:rsid w:val="00BE7D83"/>
    <w:rsid w:val="00BF0798"/>
    <w:rsid w:val="00BF09FA"/>
    <w:rsid w:val="00BF0C85"/>
    <w:rsid w:val="00BF1083"/>
    <w:rsid w:val="00BF1696"/>
    <w:rsid w:val="00BF16F9"/>
    <w:rsid w:val="00BF1A90"/>
    <w:rsid w:val="00BF1FDD"/>
    <w:rsid w:val="00BF2406"/>
    <w:rsid w:val="00BF2E02"/>
    <w:rsid w:val="00BF36A5"/>
    <w:rsid w:val="00BF3DD6"/>
    <w:rsid w:val="00BF46CC"/>
    <w:rsid w:val="00BF5270"/>
    <w:rsid w:val="00BF5FBA"/>
    <w:rsid w:val="00BF7441"/>
    <w:rsid w:val="00BF7757"/>
    <w:rsid w:val="00BF7E4C"/>
    <w:rsid w:val="00C00468"/>
    <w:rsid w:val="00C00E42"/>
    <w:rsid w:val="00C0158D"/>
    <w:rsid w:val="00C038B0"/>
    <w:rsid w:val="00C03B4F"/>
    <w:rsid w:val="00C03D22"/>
    <w:rsid w:val="00C03FC4"/>
    <w:rsid w:val="00C0400A"/>
    <w:rsid w:val="00C04102"/>
    <w:rsid w:val="00C04E14"/>
    <w:rsid w:val="00C052DC"/>
    <w:rsid w:val="00C054FA"/>
    <w:rsid w:val="00C05B2C"/>
    <w:rsid w:val="00C06396"/>
    <w:rsid w:val="00C06AC7"/>
    <w:rsid w:val="00C06C69"/>
    <w:rsid w:val="00C07A65"/>
    <w:rsid w:val="00C10896"/>
    <w:rsid w:val="00C1226F"/>
    <w:rsid w:val="00C125D5"/>
    <w:rsid w:val="00C12C8D"/>
    <w:rsid w:val="00C1343D"/>
    <w:rsid w:val="00C13B1E"/>
    <w:rsid w:val="00C1464F"/>
    <w:rsid w:val="00C14EDB"/>
    <w:rsid w:val="00C15F0B"/>
    <w:rsid w:val="00C15FCA"/>
    <w:rsid w:val="00C1601D"/>
    <w:rsid w:val="00C16F92"/>
    <w:rsid w:val="00C17440"/>
    <w:rsid w:val="00C17F50"/>
    <w:rsid w:val="00C20312"/>
    <w:rsid w:val="00C21305"/>
    <w:rsid w:val="00C21FAB"/>
    <w:rsid w:val="00C22088"/>
    <w:rsid w:val="00C22399"/>
    <w:rsid w:val="00C23447"/>
    <w:rsid w:val="00C2455E"/>
    <w:rsid w:val="00C24620"/>
    <w:rsid w:val="00C248BB"/>
    <w:rsid w:val="00C248CD"/>
    <w:rsid w:val="00C24B15"/>
    <w:rsid w:val="00C24D24"/>
    <w:rsid w:val="00C24EA5"/>
    <w:rsid w:val="00C2626D"/>
    <w:rsid w:val="00C26630"/>
    <w:rsid w:val="00C26945"/>
    <w:rsid w:val="00C30212"/>
    <w:rsid w:val="00C3072E"/>
    <w:rsid w:val="00C31EA3"/>
    <w:rsid w:val="00C3206E"/>
    <w:rsid w:val="00C32616"/>
    <w:rsid w:val="00C34362"/>
    <w:rsid w:val="00C344D7"/>
    <w:rsid w:val="00C349B4"/>
    <w:rsid w:val="00C35A36"/>
    <w:rsid w:val="00C36872"/>
    <w:rsid w:val="00C37316"/>
    <w:rsid w:val="00C37FBA"/>
    <w:rsid w:val="00C40577"/>
    <w:rsid w:val="00C40797"/>
    <w:rsid w:val="00C40BF3"/>
    <w:rsid w:val="00C416F8"/>
    <w:rsid w:val="00C42207"/>
    <w:rsid w:val="00C42A96"/>
    <w:rsid w:val="00C42E8F"/>
    <w:rsid w:val="00C433E6"/>
    <w:rsid w:val="00C44304"/>
    <w:rsid w:val="00C444A5"/>
    <w:rsid w:val="00C454AE"/>
    <w:rsid w:val="00C45A5D"/>
    <w:rsid w:val="00C46B53"/>
    <w:rsid w:val="00C46BFB"/>
    <w:rsid w:val="00C535A8"/>
    <w:rsid w:val="00C53C81"/>
    <w:rsid w:val="00C540C3"/>
    <w:rsid w:val="00C54CE9"/>
    <w:rsid w:val="00C55069"/>
    <w:rsid w:val="00C55938"/>
    <w:rsid w:val="00C571E3"/>
    <w:rsid w:val="00C57396"/>
    <w:rsid w:val="00C575D0"/>
    <w:rsid w:val="00C57738"/>
    <w:rsid w:val="00C57D6F"/>
    <w:rsid w:val="00C61121"/>
    <w:rsid w:val="00C62325"/>
    <w:rsid w:val="00C62A12"/>
    <w:rsid w:val="00C637FC"/>
    <w:rsid w:val="00C63810"/>
    <w:rsid w:val="00C6403C"/>
    <w:rsid w:val="00C64D86"/>
    <w:rsid w:val="00C64E1D"/>
    <w:rsid w:val="00C652B0"/>
    <w:rsid w:val="00C65581"/>
    <w:rsid w:val="00C656BB"/>
    <w:rsid w:val="00C65A4B"/>
    <w:rsid w:val="00C65B85"/>
    <w:rsid w:val="00C65E47"/>
    <w:rsid w:val="00C66C54"/>
    <w:rsid w:val="00C6749D"/>
    <w:rsid w:val="00C678D3"/>
    <w:rsid w:val="00C67AA1"/>
    <w:rsid w:val="00C7100D"/>
    <w:rsid w:val="00C723C2"/>
    <w:rsid w:val="00C72578"/>
    <w:rsid w:val="00C72763"/>
    <w:rsid w:val="00C72BAE"/>
    <w:rsid w:val="00C731B2"/>
    <w:rsid w:val="00C74053"/>
    <w:rsid w:val="00C74E5E"/>
    <w:rsid w:val="00C753F3"/>
    <w:rsid w:val="00C7570C"/>
    <w:rsid w:val="00C75ED5"/>
    <w:rsid w:val="00C75FA7"/>
    <w:rsid w:val="00C768E3"/>
    <w:rsid w:val="00C76E5E"/>
    <w:rsid w:val="00C80395"/>
    <w:rsid w:val="00C80A69"/>
    <w:rsid w:val="00C81A9F"/>
    <w:rsid w:val="00C821DA"/>
    <w:rsid w:val="00C82639"/>
    <w:rsid w:val="00C82EE4"/>
    <w:rsid w:val="00C83089"/>
    <w:rsid w:val="00C830BC"/>
    <w:rsid w:val="00C83AEB"/>
    <w:rsid w:val="00C84311"/>
    <w:rsid w:val="00C8448E"/>
    <w:rsid w:val="00C86B60"/>
    <w:rsid w:val="00C877F2"/>
    <w:rsid w:val="00C87F34"/>
    <w:rsid w:val="00C907C1"/>
    <w:rsid w:val="00C90E4B"/>
    <w:rsid w:val="00C9203E"/>
    <w:rsid w:val="00C9230F"/>
    <w:rsid w:val="00C92989"/>
    <w:rsid w:val="00C92D49"/>
    <w:rsid w:val="00C92F30"/>
    <w:rsid w:val="00C92FE0"/>
    <w:rsid w:val="00C93116"/>
    <w:rsid w:val="00C93545"/>
    <w:rsid w:val="00C93585"/>
    <w:rsid w:val="00C93820"/>
    <w:rsid w:val="00C958FA"/>
    <w:rsid w:val="00C959B4"/>
    <w:rsid w:val="00C95C49"/>
    <w:rsid w:val="00C97973"/>
    <w:rsid w:val="00C97A9B"/>
    <w:rsid w:val="00CA01DD"/>
    <w:rsid w:val="00CA0579"/>
    <w:rsid w:val="00CA11EC"/>
    <w:rsid w:val="00CA120A"/>
    <w:rsid w:val="00CA15FF"/>
    <w:rsid w:val="00CA1DF2"/>
    <w:rsid w:val="00CA2485"/>
    <w:rsid w:val="00CA333E"/>
    <w:rsid w:val="00CA3441"/>
    <w:rsid w:val="00CA4B6B"/>
    <w:rsid w:val="00CA53C6"/>
    <w:rsid w:val="00CA5E4E"/>
    <w:rsid w:val="00CA693F"/>
    <w:rsid w:val="00CA70E0"/>
    <w:rsid w:val="00CA78D9"/>
    <w:rsid w:val="00CB1559"/>
    <w:rsid w:val="00CB1B24"/>
    <w:rsid w:val="00CB20D1"/>
    <w:rsid w:val="00CB27B2"/>
    <w:rsid w:val="00CB2CF4"/>
    <w:rsid w:val="00CB3B68"/>
    <w:rsid w:val="00CB3F16"/>
    <w:rsid w:val="00CB426C"/>
    <w:rsid w:val="00CB4714"/>
    <w:rsid w:val="00CB4FE3"/>
    <w:rsid w:val="00CB5E29"/>
    <w:rsid w:val="00CB6C45"/>
    <w:rsid w:val="00CB6F71"/>
    <w:rsid w:val="00CB6FB4"/>
    <w:rsid w:val="00CB71B8"/>
    <w:rsid w:val="00CC0C44"/>
    <w:rsid w:val="00CC21C1"/>
    <w:rsid w:val="00CC21CC"/>
    <w:rsid w:val="00CC2212"/>
    <w:rsid w:val="00CC2DA9"/>
    <w:rsid w:val="00CC2E7F"/>
    <w:rsid w:val="00CC3427"/>
    <w:rsid w:val="00CC3611"/>
    <w:rsid w:val="00CC448E"/>
    <w:rsid w:val="00CC4C52"/>
    <w:rsid w:val="00CC4C66"/>
    <w:rsid w:val="00CC4D87"/>
    <w:rsid w:val="00CC5FD9"/>
    <w:rsid w:val="00CC7B75"/>
    <w:rsid w:val="00CC7CDA"/>
    <w:rsid w:val="00CC7D78"/>
    <w:rsid w:val="00CD027F"/>
    <w:rsid w:val="00CD046C"/>
    <w:rsid w:val="00CD084A"/>
    <w:rsid w:val="00CD1C99"/>
    <w:rsid w:val="00CD1D46"/>
    <w:rsid w:val="00CD25EB"/>
    <w:rsid w:val="00CD2B68"/>
    <w:rsid w:val="00CD2D54"/>
    <w:rsid w:val="00CD3C11"/>
    <w:rsid w:val="00CD45CA"/>
    <w:rsid w:val="00CD46F8"/>
    <w:rsid w:val="00CD58E0"/>
    <w:rsid w:val="00CD6B0D"/>
    <w:rsid w:val="00CD6E85"/>
    <w:rsid w:val="00CD7A37"/>
    <w:rsid w:val="00CE08AB"/>
    <w:rsid w:val="00CE08CD"/>
    <w:rsid w:val="00CE0B29"/>
    <w:rsid w:val="00CE0BDB"/>
    <w:rsid w:val="00CE0C0C"/>
    <w:rsid w:val="00CE0D20"/>
    <w:rsid w:val="00CE10BE"/>
    <w:rsid w:val="00CE14A4"/>
    <w:rsid w:val="00CE2F01"/>
    <w:rsid w:val="00CE411D"/>
    <w:rsid w:val="00CE4B56"/>
    <w:rsid w:val="00CE4D0F"/>
    <w:rsid w:val="00CE5035"/>
    <w:rsid w:val="00CE5C7F"/>
    <w:rsid w:val="00CE5D20"/>
    <w:rsid w:val="00CE61FD"/>
    <w:rsid w:val="00CE7DD4"/>
    <w:rsid w:val="00CF0329"/>
    <w:rsid w:val="00CF0B13"/>
    <w:rsid w:val="00CF0C4C"/>
    <w:rsid w:val="00CF0D73"/>
    <w:rsid w:val="00CF144C"/>
    <w:rsid w:val="00CF1B71"/>
    <w:rsid w:val="00CF1D60"/>
    <w:rsid w:val="00CF2437"/>
    <w:rsid w:val="00CF2446"/>
    <w:rsid w:val="00CF2690"/>
    <w:rsid w:val="00CF2FB1"/>
    <w:rsid w:val="00CF371B"/>
    <w:rsid w:val="00CF4B36"/>
    <w:rsid w:val="00CF5BD9"/>
    <w:rsid w:val="00CF6769"/>
    <w:rsid w:val="00CF6822"/>
    <w:rsid w:val="00D01D0C"/>
    <w:rsid w:val="00D020A5"/>
    <w:rsid w:val="00D0273A"/>
    <w:rsid w:val="00D02AB0"/>
    <w:rsid w:val="00D03F2C"/>
    <w:rsid w:val="00D053C3"/>
    <w:rsid w:val="00D070B6"/>
    <w:rsid w:val="00D071A1"/>
    <w:rsid w:val="00D074C1"/>
    <w:rsid w:val="00D076C4"/>
    <w:rsid w:val="00D0779B"/>
    <w:rsid w:val="00D10112"/>
    <w:rsid w:val="00D1042C"/>
    <w:rsid w:val="00D115DD"/>
    <w:rsid w:val="00D11969"/>
    <w:rsid w:val="00D128B2"/>
    <w:rsid w:val="00D12DFE"/>
    <w:rsid w:val="00D140A9"/>
    <w:rsid w:val="00D142DE"/>
    <w:rsid w:val="00D1473E"/>
    <w:rsid w:val="00D147A0"/>
    <w:rsid w:val="00D14AF7"/>
    <w:rsid w:val="00D15ECF"/>
    <w:rsid w:val="00D164F0"/>
    <w:rsid w:val="00D16BC0"/>
    <w:rsid w:val="00D16CE0"/>
    <w:rsid w:val="00D17094"/>
    <w:rsid w:val="00D174E6"/>
    <w:rsid w:val="00D176E7"/>
    <w:rsid w:val="00D20186"/>
    <w:rsid w:val="00D20631"/>
    <w:rsid w:val="00D20DF7"/>
    <w:rsid w:val="00D2115F"/>
    <w:rsid w:val="00D215C1"/>
    <w:rsid w:val="00D21774"/>
    <w:rsid w:val="00D23C9D"/>
    <w:rsid w:val="00D2513B"/>
    <w:rsid w:val="00D2578D"/>
    <w:rsid w:val="00D26F41"/>
    <w:rsid w:val="00D273B3"/>
    <w:rsid w:val="00D276A6"/>
    <w:rsid w:val="00D27D74"/>
    <w:rsid w:val="00D27F17"/>
    <w:rsid w:val="00D30890"/>
    <w:rsid w:val="00D30CB1"/>
    <w:rsid w:val="00D310D6"/>
    <w:rsid w:val="00D3131C"/>
    <w:rsid w:val="00D31BF4"/>
    <w:rsid w:val="00D333B6"/>
    <w:rsid w:val="00D33561"/>
    <w:rsid w:val="00D33BDE"/>
    <w:rsid w:val="00D33E94"/>
    <w:rsid w:val="00D34051"/>
    <w:rsid w:val="00D340FC"/>
    <w:rsid w:val="00D34A51"/>
    <w:rsid w:val="00D35773"/>
    <w:rsid w:val="00D3676E"/>
    <w:rsid w:val="00D36D2F"/>
    <w:rsid w:val="00D375E1"/>
    <w:rsid w:val="00D4219A"/>
    <w:rsid w:val="00D422C6"/>
    <w:rsid w:val="00D428CE"/>
    <w:rsid w:val="00D42B74"/>
    <w:rsid w:val="00D42E87"/>
    <w:rsid w:val="00D43DE8"/>
    <w:rsid w:val="00D43FC4"/>
    <w:rsid w:val="00D44663"/>
    <w:rsid w:val="00D44860"/>
    <w:rsid w:val="00D450FC"/>
    <w:rsid w:val="00D451C0"/>
    <w:rsid w:val="00D45FE4"/>
    <w:rsid w:val="00D46AAA"/>
    <w:rsid w:val="00D46AEF"/>
    <w:rsid w:val="00D472DE"/>
    <w:rsid w:val="00D4778D"/>
    <w:rsid w:val="00D47CC4"/>
    <w:rsid w:val="00D51896"/>
    <w:rsid w:val="00D523DE"/>
    <w:rsid w:val="00D524C2"/>
    <w:rsid w:val="00D52A50"/>
    <w:rsid w:val="00D52D0E"/>
    <w:rsid w:val="00D52E0B"/>
    <w:rsid w:val="00D54685"/>
    <w:rsid w:val="00D54A67"/>
    <w:rsid w:val="00D54E9B"/>
    <w:rsid w:val="00D5676A"/>
    <w:rsid w:val="00D5686C"/>
    <w:rsid w:val="00D56DE1"/>
    <w:rsid w:val="00D57A3A"/>
    <w:rsid w:val="00D57B3B"/>
    <w:rsid w:val="00D60C84"/>
    <w:rsid w:val="00D60D06"/>
    <w:rsid w:val="00D60E59"/>
    <w:rsid w:val="00D61C99"/>
    <w:rsid w:val="00D626BE"/>
    <w:rsid w:val="00D629A0"/>
    <w:rsid w:val="00D629C4"/>
    <w:rsid w:val="00D62B38"/>
    <w:rsid w:val="00D63102"/>
    <w:rsid w:val="00D646FA"/>
    <w:rsid w:val="00D65179"/>
    <w:rsid w:val="00D65D9F"/>
    <w:rsid w:val="00D662CC"/>
    <w:rsid w:val="00D66686"/>
    <w:rsid w:val="00D6680B"/>
    <w:rsid w:val="00D67C60"/>
    <w:rsid w:val="00D67CFA"/>
    <w:rsid w:val="00D70165"/>
    <w:rsid w:val="00D71018"/>
    <w:rsid w:val="00D724D6"/>
    <w:rsid w:val="00D72F2C"/>
    <w:rsid w:val="00D740CE"/>
    <w:rsid w:val="00D746FF"/>
    <w:rsid w:val="00D74E84"/>
    <w:rsid w:val="00D75048"/>
    <w:rsid w:val="00D75126"/>
    <w:rsid w:val="00D75A3C"/>
    <w:rsid w:val="00D764A5"/>
    <w:rsid w:val="00D7681A"/>
    <w:rsid w:val="00D7782F"/>
    <w:rsid w:val="00D800F7"/>
    <w:rsid w:val="00D80149"/>
    <w:rsid w:val="00D81052"/>
    <w:rsid w:val="00D8112E"/>
    <w:rsid w:val="00D814AA"/>
    <w:rsid w:val="00D81C88"/>
    <w:rsid w:val="00D81DC6"/>
    <w:rsid w:val="00D83BEF"/>
    <w:rsid w:val="00D83E3A"/>
    <w:rsid w:val="00D84A7A"/>
    <w:rsid w:val="00D84DDE"/>
    <w:rsid w:val="00D84F10"/>
    <w:rsid w:val="00D8513D"/>
    <w:rsid w:val="00D85E08"/>
    <w:rsid w:val="00D85E78"/>
    <w:rsid w:val="00D86010"/>
    <w:rsid w:val="00D873F2"/>
    <w:rsid w:val="00D876C0"/>
    <w:rsid w:val="00D8795F"/>
    <w:rsid w:val="00D87C5A"/>
    <w:rsid w:val="00D9053D"/>
    <w:rsid w:val="00D90791"/>
    <w:rsid w:val="00D90B5B"/>
    <w:rsid w:val="00D9188D"/>
    <w:rsid w:val="00D91982"/>
    <w:rsid w:val="00D92314"/>
    <w:rsid w:val="00D925E6"/>
    <w:rsid w:val="00D93938"/>
    <w:rsid w:val="00D9486C"/>
    <w:rsid w:val="00D94BC6"/>
    <w:rsid w:val="00D952BF"/>
    <w:rsid w:val="00D954B8"/>
    <w:rsid w:val="00D9555D"/>
    <w:rsid w:val="00D960D9"/>
    <w:rsid w:val="00D9661A"/>
    <w:rsid w:val="00D96766"/>
    <w:rsid w:val="00D96E5D"/>
    <w:rsid w:val="00D97DE4"/>
    <w:rsid w:val="00DA0091"/>
    <w:rsid w:val="00DA0106"/>
    <w:rsid w:val="00DA03E8"/>
    <w:rsid w:val="00DA1D09"/>
    <w:rsid w:val="00DA3325"/>
    <w:rsid w:val="00DA3B22"/>
    <w:rsid w:val="00DA4C99"/>
    <w:rsid w:val="00DA575E"/>
    <w:rsid w:val="00DA5A62"/>
    <w:rsid w:val="00DA689D"/>
    <w:rsid w:val="00DA69D7"/>
    <w:rsid w:val="00DA7027"/>
    <w:rsid w:val="00DA7471"/>
    <w:rsid w:val="00DB0273"/>
    <w:rsid w:val="00DB0755"/>
    <w:rsid w:val="00DB0BE7"/>
    <w:rsid w:val="00DB1602"/>
    <w:rsid w:val="00DB1DC7"/>
    <w:rsid w:val="00DB34BB"/>
    <w:rsid w:val="00DB41FE"/>
    <w:rsid w:val="00DB4B3F"/>
    <w:rsid w:val="00DB4DFD"/>
    <w:rsid w:val="00DB4E4F"/>
    <w:rsid w:val="00DB559C"/>
    <w:rsid w:val="00DB5A01"/>
    <w:rsid w:val="00DB5A54"/>
    <w:rsid w:val="00DB6236"/>
    <w:rsid w:val="00DB679C"/>
    <w:rsid w:val="00DB688E"/>
    <w:rsid w:val="00DB6B69"/>
    <w:rsid w:val="00DB6EA5"/>
    <w:rsid w:val="00DB70E1"/>
    <w:rsid w:val="00DB73A6"/>
    <w:rsid w:val="00DB7ECC"/>
    <w:rsid w:val="00DC078A"/>
    <w:rsid w:val="00DC07F3"/>
    <w:rsid w:val="00DC1283"/>
    <w:rsid w:val="00DC1443"/>
    <w:rsid w:val="00DC175E"/>
    <w:rsid w:val="00DC189B"/>
    <w:rsid w:val="00DC1CD5"/>
    <w:rsid w:val="00DC2ACB"/>
    <w:rsid w:val="00DC2E2B"/>
    <w:rsid w:val="00DC4351"/>
    <w:rsid w:val="00DC5192"/>
    <w:rsid w:val="00DC555C"/>
    <w:rsid w:val="00DC569C"/>
    <w:rsid w:val="00DC5A34"/>
    <w:rsid w:val="00DC5C89"/>
    <w:rsid w:val="00DC5FBE"/>
    <w:rsid w:val="00DC761C"/>
    <w:rsid w:val="00DC7E4C"/>
    <w:rsid w:val="00DD0CFD"/>
    <w:rsid w:val="00DD1A56"/>
    <w:rsid w:val="00DD2A9F"/>
    <w:rsid w:val="00DD3684"/>
    <w:rsid w:val="00DD49F5"/>
    <w:rsid w:val="00DD4A5D"/>
    <w:rsid w:val="00DD4BF2"/>
    <w:rsid w:val="00DD4D1C"/>
    <w:rsid w:val="00DD5C56"/>
    <w:rsid w:val="00DD5D3D"/>
    <w:rsid w:val="00DD6051"/>
    <w:rsid w:val="00DD6EE9"/>
    <w:rsid w:val="00DD7520"/>
    <w:rsid w:val="00DD7A20"/>
    <w:rsid w:val="00DE0A7D"/>
    <w:rsid w:val="00DE0D9C"/>
    <w:rsid w:val="00DE0E43"/>
    <w:rsid w:val="00DE108F"/>
    <w:rsid w:val="00DE1115"/>
    <w:rsid w:val="00DE13F9"/>
    <w:rsid w:val="00DE1524"/>
    <w:rsid w:val="00DE1D2C"/>
    <w:rsid w:val="00DE31CF"/>
    <w:rsid w:val="00DE4B08"/>
    <w:rsid w:val="00DE53D5"/>
    <w:rsid w:val="00DE58F8"/>
    <w:rsid w:val="00DE61BC"/>
    <w:rsid w:val="00DE6ADC"/>
    <w:rsid w:val="00DE6CA6"/>
    <w:rsid w:val="00DE759B"/>
    <w:rsid w:val="00DF02FC"/>
    <w:rsid w:val="00DF19C9"/>
    <w:rsid w:val="00DF1D1C"/>
    <w:rsid w:val="00DF232A"/>
    <w:rsid w:val="00DF2634"/>
    <w:rsid w:val="00DF26FE"/>
    <w:rsid w:val="00DF3815"/>
    <w:rsid w:val="00DF4F47"/>
    <w:rsid w:val="00DF5897"/>
    <w:rsid w:val="00DF5C6F"/>
    <w:rsid w:val="00DF6C87"/>
    <w:rsid w:val="00DF709F"/>
    <w:rsid w:val="00E00191"/>
    <w:rsid w:val="00E00AA3"/>
    <w:rsid w:val="00E01713"/>
    <w:rsid w:val="00E0174C"/>
    <w:rsid w:val="00E0176D"/>
    <w:rsid w:val="00E017DA"/>
    <w:rsid w:val="00E01AD3"/>
    <w:rsid w:val="00E02643"/>
    <w:rsid w:val="00E0288A"/>
    <w:rsid w:val="00E02D9B"/>
    <w:rsid w:val="00E03676"/>
    <w:rsid w:val="00E03D43"/>
    <w:rsid w:val="00E03E26"/>
    <w:rsid w:val="00E03E3C"/>
    <w:rsid w:val="00E03FE2"/>
    <w:rsid w:val="00E0404E"/>
    <w:rsid w:val="00E0462D"/>
    <w:rsid w:val="00E0588D"/>
    <w:rsid w:val="00E05CAF"/>
    <w:rsid w:val="00E0680A"/>
    <w:rsid w:val="00E06FC6"/>
    <w:rsid w:val="00E100D8"/>
    <w:rsid w:val="00E10261"/>
    <w:rsid w:val="00E11049"/>
    <w:rsid w:val="00E112F8"/>
    <w:rsid w:val="00E12629"/>
    <w:rsid w:val="00E126D8"/>
    <w:rsid w:val="00E141EA"/>
    <w:rsid w:val="00E14AFE"/>
    <w:rsid w:val="00E1547B"/>
    <w:rsid w:val="00E1571D"/>
    <w:rsid w:val="00E15C56"/>
    <w:rsid w:val="00E169A1"/>
    <w:rsid w:val="00E16F12"/>
    <w:rsid w:val="00E17DBA"/>
    <w:rsid w:val="00E20320"/>
    <w:rsid w:val="00E20913"/>
    <w:rsid w:val="00E20EB5"/>
    <w:rsid w:val="00E2118D"/>
    <w:rsid w:val="00E212C7"/>
    <w:rsid w:val="00E21B52"/>
    <w:rsid w:val="00E23001"/>
    <w:rsid w:val="00E237CA"/>
    <w:rsid w:val="00E23D47"/>
    <w:rsid w:val="00E24515"/>
    <w:rsid w:val="00E24F08"/>
    <w:rsid w:val="00E254C3"/>
    <w:rsid w:val="00E258F2"/>
    <w:rsid w:val="00E268B9"/>
    <w:rsid w:val="00E26C99"/>
    <w:rsid w:val="00E27EAD"/>
    <w:rsid w:val="00E30095"/>
    <w:rsid w:val="00E301C7"/>
    <w:rsid w:val="00E312F1"/>
    <w:rsid w:val="00E319E5"/>
    <w:rsid w:val="00E31D07"/>
    <w:rsid w:val="00E32313"/>
    <w:rsid w:val="00E32D01"/>
    <w:rsid w:val="00E32F91"/>
    <w:rsid w:val="00E33773"/>
    <w:rsid w:val="00E359E2"/>
    <w:rsid w:val="00E35B19"/>
    <w:rsid w:val="00E36482"/>
    <w:rsid w:val="00E36673"/>
    <w:rsid w:val="00E36AC2"/>
    <w:rsid w:val="00E37AE9"/>
    <w:rsid w:val="00E40827"/>
    <w:rsid w:val="00E412C8"/>
    <w:rsid w:val="00E41B58"/>
    <w:rsid w:val="00E41F2B"/>
    <w:rsid w:val="00E42590"/>
    <w:rsid w:val="00E44375"/>
    <w:rsid w:val="00E44E8E"/>
    <w:rsid w:val="00E45747"/>
    <w:rsid w:val="00E46A64"/>
    <w:rsid w:val="00E474B0"/>
    <w:rsid w:val="00E4750B"/>
    <w:rsid w:val="00E47D3F"/>
    <w:rsid w:val="00E500F1"/>
    <w:rsid w:val="00E50A64"/>
    <w:rsid w:val="00E50AEA"/>
    <w:rsid w:val="00E516B8"/>
    <w:rsid w:val="00E520EF"/>
    <w:rsid w:val="00E52220"/>
    <w:rsid w:val="00E53242"/>
    <w:rsid w:val="00E53339"/>
    <w:rsid w:val="00E533DE"/>
    <w:rsid w:val="00E5347F"/>
    <w:rsid w:val="00E536EF"/>
    <w:rsid w:val="00E545CE"/>
    <w:rsid w:val="00E5514C"/>
    <w:rsid w:val="00E555F9"/>
    <w:rsid w:val="00E559B5"/>
    <w:rsid w:val="00E55A5E"/>
    <w:rsid w:val="00E566C0"/>
    <w:rsid w:val="00E57A7C"/>
    <w:rsid w:val="00E607D5"/>
    <w:rsid w:val="00E60896"/>
    <w:rsid w:val="00E60DB6"/>
    <w:rsid w:val="00E61A4A"/>
    <w:rsid w:val="00E62CF7"/>
    <w:rsid w:val="00E62E1E"/>
    <w:rsid w:val="00E63428"/>
    <w:rsid w:val="00E6375C"/>
    <w:rsid w:val="00E63CFE"/>
    <w:rsid w:val="00E64946"/>
    <w:rsid w:val="00E649DA"/>
    <w:rsid w:val="00E649FE"/>
    <w:rsid w:val="00E64CD2"/>
    <w:rsid w:val="00E67008"/>
    <w:rsid w:val="00E67328"/>
    <w:rsid w:val="00E67734"/>
    <w:rsid w:val="00E706C6"/>
    <w:rsid w:val="00E72630"/>
    <w:rsid w:val="00E727CF"/>
    <w:rsid w:val="00E72913"/>
    <w:rsid w:val="00E73522"/>
    <w:rsid w:val="00E738D9"/>
    <w:rsid w:val="00E7397B"/>
    <w:rsid w:val="00E74B68"/>
    <w:rsid w:val="00E74BAA"/>
    <w:rsid w:val="00E75B2B"/>
    <w:rsid w:val="00E775A4"/>
    <w:rsid w:val="00E777D7"/>
    <w:rsid w:val="00E80611"/>
    <w:rsid w:val="00E80BB1"/>
    <w:rsid w:val="00E80FCC"/>
    <w:rsid w:val="00E8133D"/>
    <w:rsid w:val="00E81346"/>
    <w:rsid w:val="00E81862"/>
    <w:rsid w:val="00E81A3B"/>
    <w:rsid w:val="00E81B9F"/>
    <w:rsid w:val="00E82B40"/>
    <w:rsid w:val="00E82BD7"/>
    <w:rsid w:val="00E82C1D"/>
    <w:rsid w:val="00E8387B"/>
    <w:rsid w:val="00E84045"/>
    <w:rsid w:val="00E8485D"/>
    <w:rsid w:val="00E85092"/>
    <w:rsid w:val="00E851DF"/>
    <w:rsid w:val="00E8599A"/>
    <w:rsid w:val="00E85D8E"/>
    <w:rsid w:val="00E85F1A"/>
    <w:rsid w:val="00E86C50"/>
    <w:rsid w:val="00E87270"/>
    <w:rsid w:val="00E87B52"/>
    <w:rsid w:val="00E87E34"/>
    <w:rsid w:val="00E902B0"/>
    <w:rsid w:val="00E905F7"/>
    <w:rsid w:val="00E90F5D"/>
    <w:rsid w:val="00E910BC"/>
    <w:rsid w:val="00E91242"/>
    <w:rsid w:val="00E91259"/>
    <w:rsid w:val="00E9254D"/>
    <w:rsid w:val="00E930D7"/>
    <w:rsid w:val="00E9593A"/>
    <w:rsid w:val="00E95BE8"/>
    <w:rsid w:val="00E96A7E"/>
    <w:rsid w:val="00E96FC3"/>
    <w:rsid w:val="00E97305"/>
    <w:rsid w:val="00E97509"/>
    <w:rsid w:val="00EA00F3"/>
    <w:rsid w:val="00EA0C0F"/>
    <w:rsid w:val="00EA143C"/>
    <w:rsid w:val="00EA2281"/>
    <w:rsid w:val="00EA2B8F"/>
    <w:rsid w:val="00EA3081"/>
    <w:rsid w:val="00EA3744"/>
    <w:rsid w:val="00EA409E"/>
    <w:rsid w:val="00EA4736"/>
    <w:rsid w:val="00EA4867"/>
    <w:rsid w:val="00EA4C5D"/>
    <w:rsid w:val="00EA5011"/>
    <w:rsid w:val="00EA55CA"/>
    <w:rsid w:val="00EA5600"/>
    <w:rsid w:val="00EA5946"/>
    <w:rsid w:val="00EA5E4C"/>
    <w:rsid w:val="00EA655E"/>
    <w:rsid w:val="00EB04FE"/>
    <w:rsid w:val="00EB06EB"/>
    <w:rsid w:val="00EB0EAB"/>
    <w:rsid w:val="00EB2371"/>
    <w:rsid w:val="00EB277F"/>
    <w:rsid w:val="00EB2EE7"/>
    <w:rsid w:val="00EB3B5A"/>
    <w:rsid w:val="00EB4FD8"/>
    <w:rsid w:val="00EB5699"/>
    <w:rsid w:val="00EB5AD0"/>
    <w:rsid w:val="00EB5BB8"/>
    <w:rsid w:val="00EB7978"/>
    <w:rsid w:val="00EC0267"/>
    <w:rsid w:val="00EC06B0"/>
    <w:rsid w:val="00EC17DD"/>
    <w:rsid w:val="00EC2E6A"/>
    <w:rsid w:val="00EC3194"/>
    <w:rsid w:val="00EC3196"/>
    <w:rsid w:val="00EC3571"/>
    <w:rsid w:val="00EC3EB9"/>
    <w:rsid w:val="00EC43A5"/>
    <w:rsid w:val="00EC447A"/>
    <w:rsid w:val="00EC4567"/>
    <w:rsid w:val="00EC4606"/>
    <w:rsid w:val="00EC5A6E"/>
    <w:rsid w:val="00EC6038"/>
    <w:rsid w:val="00ED01A7"/>
    <w:rsid w:val="00ED0984"/>
    <w:rsid w:val="00ED10D0"/>
    <w:rsid w:val="00ED169B"/>
    <w:rsid w:val="00ED1B8E"/>
    <w:rsid w:val="00ED3670"/>
    <w:rsid w:val="00ED391F"/>
    <w:rsid w:val="00ED3B50"/>
    <w:rsid w:val="00ED3FF9"/>
    <w:rsid w:val="00ED4145"/>
    <w:rsid w:val="00ED4E1C"/>
    <w:rsid w:val="00ED4F0C"/>
    <w:rsid w:val="00ED60AD"/>
    <w:rsid w:val="00ED61AC"/>
    <w:rsid w:val="00ED6B77"/>
    <w:rsid w:val="00ED6E17"/>
    <w:rsid w:val="00ED6EF1"/>
    <w:rsid w:val="00ED79EB"/>
    <w:rsid w:val="00EE08BB"/>
    <w:rsid w:val="00EE0D06"/>
    <w:rsid w:val="00EE0E83"/>
    <w:rsid w:val="00EE168E"/>
    <w:rsid w:val="00EE1B9E"/>
    <w:rsid w:val="00EE2745"/>
    <w:rsid w:val="00EE2A47"/>
    <w:rsid w:val="00EE2AD6"/>
    <w:rsid w:val="00EE3E0A"/>
    <w:rsid w:val="00EE45E3"/>
    <w:rsid w:val="00EE4CF2"/>
    <w:rsid w:val="00EE4E94"/>
    <w:rsid w:val="00EE6A0D"/>
    <w:rsid w:val="00EE73E3"/>
    <w:rsid w:val="00EF03FF"/>
    <w:rsid w:val="00EF1163"/>
    <w:rsid w:val="00EF12AA"/>
    <w:rsid w:val="00EF294A"/>
    <w:rsid w:val="00EF2F6D"/>
    <w:rsid w:val="00EF31A4"/>
    <w:rsid w:val="00EF38DF"/>
    <w:rsid w:val="00EF4353"/>
    <w:rsid w:val="00EF47E1"/>
    <w:rsid w:val="00EF51BA"/>
    <w:rsid w:val="00EF54C1"/>
    <w:rsid w:val="00EF565B"/>
    <w:rsid w:val="00EF5D6A"/>
    <w:rsid w:val="00EF5F63"/>
    <w:rsid w:val="00EF684F"/>
    <w:rsid w:val="00EF7184"/>
    <w:rsid w:val="00F0012C"/>
    <w:rsid w:val="00F00773"/>
    <w:rsid w:val="00F02E22"/>
    <w:rsid w:val="00F03570"/>
    <w:rsid w:val="00F037D3"/>
    <w:rsid w:val="00F03C21"/>
    <w:rsid w:val="00F04083"/>
    <w:rsid w:val="00F04787"/>
    <w:rsid w:val="00F05A34"/>
    <w:rsid w:val="00F0601A"/>
    <w:rsid w:val="00F06BD0"/>
    <w:rsid w:val="00F07A6E"/>
    <w:rsid w:val="00F07A6F"/>
    <w:rsid w:val="00F104D8"/>
    <w:rsid w:val="00F10BD8"/>
    <w:rsid w:val="00F10EDB"/>
    <w:rsid w:val="00F11658"/>
    <w:rsid w:val="00F118F4"/>
    <w:rsid w:val="00F119DB"/>
    <w:rsid w:val="00F12081"/>
    <w:rsid w:val="00F12B56"/>
    <w:rsid w:val="00F12C49"/>
    <w:rsid w:val="00F13994"/>
    <w:rsid w:val="00F141CE"/>
    <w:rsid w:val="00F14219"/>
    <w:rsid w:val="00F148D5"/>
    <w:rsid w:val="00F14BE0"/>
    <w:rsid w:val="00F14CA3"/>
    <w:rsid w:val="00F15331"/>
    <w:rsid w:val="00F155D1"/>
    <w:rsid w:val="00F15889"/>
    <w:rsid w:val="00F15B33"/>
    <w:rsid w:val="00F15C37"/>
    <w:rsid w:val="00F16A37"/>
    <w:rsid w:val="00F16A94"/>
    <w:rsid w:val="00F16E56"/>
    <w:rsid w:val="00F16EAC"/>
    <w:rsid w:val="00F175A8"/>
    <w:rsid w:val="00F17FD5"/>
    <w:rsid w:val="00F21132"/>
    <w:rsid w:val="00F2143B"/>
    <w:rsid w:val="00F225CE"/>
    <w:rsid w:val="00F233CB"/>
    <w:rsid w:val="00F240C6"/>
    <w:rsid w:val="00F24B76"/>
    <w:rsid w:val="00F25813"/>
    <w:rsid w:val="00F26446"/>
    <w:rsid w:val="00F271C6"/>
    <w:rsid w:val="00F27413"/>
    <w:rsid w:val="00F2795E"/>
    <w:rsid w:val="00F27FEB"/>
    <w:rsid w:val="00F30421"/>
    <w:rsid w:val="00F30501"/>
    <w:rsid w:val="00F31D2B"/>
    <w:rsid w:val="00F32F47"/>
    <w:rsid w:val="00F33127"/>
    <w:rsid w:val="00F335A8"/>
    <w:rsid w:val="00F337E7"/>
    <w:rsid w:val="00F33AA1"/>
    <w:rsid w:val="00F34C1B"/>
    <w:rsid w:val="00F34EB7"/>
    <w:rsid w:val="00F35D05"/>
    <w:rsid w:val="00F35E4C"/>
    <w:rsid w:val="00F36210"/>
    <w:rsid w:val="00F37A99"/>
    <w:rsid w:val="00F37C06"/>
    <w:rsid w:val="00F404F9"/>
    <w:rsid w:val="00F413E9"/>
    <w:rsid w:val="00F4241C"/>
    <w:rsid w:val="00F42590"/>
    <w:rsid w:val="00F42D88"/>
    <w:rsid w:val="00F43488"/>
    <w:rsid w:val="00F43666"/>
    <w:rsid w:val="00F444AE"/>
    <w:rsid w:val="00F44BE8"/>
    <w:rsid w:val="00F455A5"/>
    <w:rsid w:val="00F458F1"/>
    <w:rsid w:val="00F4597A"/>
    <w:rsid w:val="00F45AC5"/>
    <w:rsid w:val="00F461C5"/>
    <w:rsid w:val="00F46418"/>
    <w:rsid w:val="00F46421"/>
    <w:rsid w:val="00F4678D"/>
    <w:rsid w:val="00F46940"/>
    <w:rsid w:val="00F47924"/>
    <w:rsid w:val="00F47C5D"/>
    <w:rsid w:val="00F50458"/>
    <w:rsid w:val="00F50881"/>
    <w:rsid w:val="00F50F62"/>
    <w:rsid w:val="00F51B21"/>
    <w:rsid w:val="00F51BA0"/>
    <w:rsid w:val="00F51C79"/>
    <w:rsid w:val="00F524F8"/>
    <w:rsid w:val="00F52823"/>
    <w:rsid w:val="00F52F2F"/>
    <w:rsid w:val="00F5325F"/>
    <w:rsid w:val="00F53BAC"/>
    <w:rsid w:val="00F54169"/>
    <w:rsid w:val="00F544DB"/>
    <w:rsid w:val="00F55353"/>
    <w:rsid w:val="00F55617"/>
    <w:rsid w:val="00F55A96"/>
    <w:rsid w:val="00F55C88"/>
    <w:rsid w:val="00F56F4C"/>
    <w:rsid w:val="00F57348"/>
    <w:rsid w:val="00F57FCD"/>
    <w:rsid w:val="00F600A4"/>
    <w:rsid w:val="00F6042F"/>
    <w:rsid w:val="00F60D88"/>
    <w:rsid w:val="00F6230F"/>
    <w:rsid w:val="00F62397"/>
    <w:rsid w:val="00F624F4"/>
    <w:rsid w:val="00F625CD"/>
    <w:rsid w:val="00F62911"/>
    <w:rsid w:val="00F62BA4"/>
    <w:rsid w:val="00F62C02"/>
    <w:rsid w:val="00F64426"/>
    <w:rsid w:val="00F659B6"/>
    <w:rsid w:val="00F6657F"/>
    <w:rsid w:val="00F66678"/>
    <w:rsid w:val="00F66B15"/>
    <w:rsid w:val="00F67650"/>
    <w:rsid w:val="00F67C65"/>
    <w:rsid w:val="00F7136A"/>
    <w:rsid w:val="00F71411"/>
    <w:rsid w:val="00F72B64"/>
    <w:rsid w:val="00F72EB1"/>
    <w:rsid w:val="00F7375F"/>
    <w:rsid w:val="00F74105"/>
    <w:rsid w:val="00F74828"/>
    <w:rsid w:val="00F753EF"/>
    <w:rsid w:val="00F757C0"/>
    <w:rsid w:val="00F75918"/>
    <w:rsid w:val="00F75CD3"/>
    <w:rsid w:val="00F75EB3"/>
    <w:rsid w:val="00F763A8"/>
    <w:rsid w:val="00F76AA0"/>
    <w:rsid w:val="00F76D5A"/>
    <w:rsid w:val="00F7717C"/>
    <w:rsid w:val="00F773EB"/>
    <w:rsid w:val="00F774A5"/>
    <w:rsid w:val="00F77A22"/>
    <w:rsid w:val="00F8033A"/>
    <w:rsid w:val="00F80F8E"/>
    <w:rsid w:val="00F8103B"/>
    <w:rsid w:val="00F81912"/>
    <w:rsid w:val="00F81B2A"/>
    <w:rsid w:val="00F81F8B"/>
    <w:rsid w:val="00F82933"/>
    <w:rsid w:val="00F836D4"/>
    <w:rsid w:val="00F83745"/>
    <w:rsid w:val="00F843C8"/>
    <w:rsid w:val="00F84508"/>
    <w:rsid w:val="00F84528"/>
    <w:rsid w:val="00F845D5"/>
    <w:rsid w:val="00F84708"/>
    <w:rsid w:val="00F84EE7"/>
    <w:rsid w:val="00F850FE"/>
    <w:rsid w:val="00F85F82"/>
    <w:rsid w:val="00F90172"/>
    <w:rsid w:val="00F91285"/>
    <w:rsid w:val="00F913B6"/>
    <w:rsid w:val="00F921C0"/>
    <w:rsid w:val="00F925FF"/>
    <w:rsid w:val="00F927A4"/>
    <w:rsid w:val="00F932C9"/>
    <w:rsid w:val="00F93324"/>
    <w:rsid w:val="00F9346C"/>
    <w:rsid w:val="00F93B5B"/>
    <w:rsid w:val="00F946E6"/>
    <w:rsid w:val="00F95C47"/>
    <w:rsid w:val="00F95C8A"/>
    <w:rsid w:val="00F9669F"/>
    <w:rsid w:val="00F96806"/>
    <w:rsid w:val="00F968E2"/>
    <w:rsid w:val="00F96B36"/>
    <w:rsid w:val="00F96DD4"/>
    <w:rsid w:val="00F96F51"/>
    <w:rsid w:val="00F972E8"/>
    <w:rsid w:val="00F97FF0"/>
    <w:rsid w:val="00FA06E7"/>
    <w:rsid w:val="00FA09F9"/>
    <w:rsid w:val="00FA12B8"/>
    <w:rsid w:val="00FA17A5"/>
    <w:rsid w:val="00FA21A6"/>
    <w:rsid w:val="00FA2CFD"/>
    <w:rsid w:val="00FA2F61"/>
    <w:rsid w:val="00FA354F"/>
    <w:rsid w:val="00FA3F9C"/>
    <w:rsid w:val="00FA4A05"/>
    <w:rsid w:val="00FA4B54"/>
    <w:rsid w:val="00FA52BD"/>
    <w:rsid w:val="00FA5642"/>
    <w:rsid w:val="00FA6335"/>
    <w:rsid w:val="00FA6AB4"/>
    <w:rsid w:val="00FA6DE1"/>
    <w:rsid w:val="00FA717D"/>
    <w:rsid w:val="00FB03A7"/>
    <w:rsid w:val="00FB167C"/>
    <w:rsid w:val="00FB19A4"/>
    <w:rsid w:val="00FB2E76"/>
    <w:rsid w:val="00FB3E38"/>
    <w:rsid w:val="00FB40C7"/>
    <w:rsid w:val="00FB49E4"/>
    <w:rsid w:val="00FB50F2"/>
    <w:rsid w:val="00FB5991"/>
    <w:rsid w:val="00FB5DF0"/>
    <w:rsid w:val="00FB67D1"/>
    <w:rsid w:val="00FB6D57"/>
    <w:rsid w:val="00FB7D26"/>
    <w:rsid w:val="00FC1012"/>
    <w:rsid w:val="00FC1068"/>
    <w:rsid w:val="00FC109A"/>
    <w:rsid w:val="00FC1115"/>
    <w:rsid w:val="00FC127C"/>
    <w:rsid w:val="00FC1827"/>
    <w:rsid w:val="00FC2183"/>
    <w:rsid w:val="00FC230A"/>
    <w:rsid w:val="00FC245F"/>
    <w:rsid w:val="00FC3016"/>
    <w:rsid w:val="00FC323B"/>
    <w:rsid w:val="00FC3381"/>
    <w:rsid w:val="00FC3788"/>
    <w:rsid w:val="00FC3868"/>
    <w:rsid w:val="00FC3D2B"/>
    <w:rsid w:val="00FC4360"/>
    <w:rsid w:val="00FC4509"/>
    <w:rsid w:val="00FC4AC5"/>
    <w:rsid w:val="00FC4BC0"/>
    <w:rsid w:val="00FC52C6"/>
    <w:rsid w:val="00FC5CCB"/>
    <w:rsid w:val="00FC5FE3"/>
    <w:rsid w:val="00FC696A"/>
    <w:rsid w:val="00FC6ACC"/>
    <w:rsid w:val="00FD0199"/>
    <w:rsid w:val="00FD0638"/>
    <w:rsid w:val="00FD0959"/>
    <w:rsid w:val="00FD0FC1"/>
    <w:rsid w:val="00FD1432"/>
    <w:rsid w:val="00FD169D"/>
    <w:rsid w:val="00FD1CD1"/>
    <w:rsid w:val="00FD3405"/>
    <w:rsid w:val="00FD4A1E"/>
    <w:rsid w:val="00FD4BD8"/>
    <w:rsid w:val="00FD70CB"/>
    <w:rsid w:val="00FD7613"/>
    <w:rsid w:val="00FD7AFB"/>
    <w:rsid w:val="00FE08D5"/>
    <w:rsid w:val="00FE1236"/>
    <w:rsid w:val="00FE1B91"/>
    <w:rsid w:val="00FE1CEA"/>
    <w:rsid w:val="00FE2070"/>
    <w:rsid w:val="00FE218A"/>
    <w:rsid w:val="00FE233F"/>
    <w:rsid w:val="00FE3147"/>
    <w:rsid w:val="00FE42DD"/>
    <w:rsid w:val="00FE434E"/>
    <w:rsid w:val="00FE4879"/>
    <w:rsid w:val="00FE4D54"/>
    <w:rsid w:val="00FE5C53"/>
    <w:rsid w:val="00FE69F3"/>
    <w:rsid w:val="00FE6A7D"/>
    <w:rsid w:val="00FE73AD"/>
    <w:rsid w:val="00FE752A"/>
    <w:rsid w:val="00FE7A53"/>
    <w:rsid w:val="00FF06EF"/>
    <w:rsid w:val="00FF0927"/>
    <w:rsid w:val="00FF0BB8"/>
    <w:rsid w:val="00FF0E11"/>
    <w:rsid w:val="00FF1462"/>
    <w:rsid w:val="00FF1D71"/>
    <w:rsid w:val="00FF3CC0"/>
    <w:rsid w:val="00FF3DE0"/>
    <w:rsid w:val="00FF55FF"/>
    <w:rsid w:val="00FF5841"/>
    <w:rsid w:val="00FF68AC"/>
    <w:rsid w:val="00FF6C5D"/>
    <w:rsid w:val="00FF7125"/>
    <w:rsid w:val="00FF782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1D075AB"/>
  <w15:docId w15:val="{84EF3AA0-48C0-4CE9-8D43-E6CC7D61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1D8"/>
    <w:pPr>
      <w:spacing w:after="227" w:line="298" w:lineRule="atLeast"/>
    </w:pPr>
    <w:rPr>
      <w:rFonts w:ascii="Lato Light" w:hAnsi="Lato Light"/>
      <w:color w:val="000000"/>
      <w:sz w:val="21"/>
      <w:szCs w:val="24"/>
      <w:lang w:val="en-US"/>
    </w:rPr>
  </w:style>
  <w:style w:type="paragraph" w:styleId="Heading1">
    <w:name w:val="heading 1"/>
    <w:basedOn w:val="Normal"/>
    <w:next w:val="Normal"/>
    <w:link w:val="Heading1Char"/>
    <w:qFormat/>
    <w:rsid w:val="00B61315"/>
    <w:pPr>
      <w:keepNext/>
      <w:spacing w:after="120" w:line="300" w:lineRule="atLeast"/>
      <w:outlineLvl w:val="0"/>
    </w:pPr>
    <w:rPr>
      <w:rFonts w:cs="Arial"/>
      <w:b/>
      <w:bCs/>
      <w:color w:val="000000" w:themeColor="text2"/>
      <w:kern w:val="32"/>
      <w:sz w:val="28"/>
      <w:szCs w:val="32"/>
    </w:rPr>
  </w:style>
  <w:style w:type="paragraph" w:styleId="Heading2">
    <w:name w:val="heading 2"/>
    <w:basedOn w:val="Normal"/>
    <w:next w:val="Normal"/>
    <w:link w:val="Heading2Char"/>
    <w:qFormat/>
    <w:rsid w:val="00B61315"/>
    <w:pPr>
      <w:keepNext/>
      <w:spacing w:before="240" w:after="120"/>
      <w:outlineLvl w:val="1"/>
    </w:pPr>
    <w:rPr>
      <w:rFonts w:cs="Arial"/>
      <w:b/>
      <w:bCs/>
      <w:iCs/>
      <w:color w:val="000000" w:themeColor="text2"/>
      <w:sz w:val="24"/>
    </w:rPr>
  </w:style>
  <w:style w:type="paragraph" w:styleId="Heading3">
    <w:name w:val="heading 3"/>
    <w:basedOn w:val="Normal"/>
    <w:next w:val="Normal"/>
    <w:link w:val="Heading3Char"/>
    <w:qFormat/>
    <w:rsid w:val="00B61315"/>
    <w:pPr>
      <w:keepNext/>
      <w:spacing w:before="240" w:after="120"/>
      <w:outlineLvl w:val="2"/>
    </w:pPr>
    <w:rPr>
      <w:rFonts w:cs="Arial"/>
      <w:b/>
      <w:bCs/>
      <w:color w:val="000000" w:themeColor="text2"/>
    </w:rPr>
  </w:style>
  <w:style w:type="paragraph" w:styleId="Heading4">
    <w:name w:val="heading 4"/>
    <w:basedOn w:val="Normal"/>
    <w:next w:val="Normal"/>
    <w:qFormat/>
    <w:rsid w:val="00B61315"/>
    <w:pPr>
      <w:spacing w:before="240" w:after="120"/>
      <w:outlineLvl w:val="3"/>
    </w:pPr>
    <w:rPr>
      <w:b/>
      <w:bCs/>
      <w:color w:val="000000" w:themeColor="text2"/>
      <w:szCs w:val="28"/>
    </w:rPr>
  </w:style>
  <w:style w:type="paragraph" w:styleId="Heading5">
    <w:name w:val="heading 5"/>
    <w:basedOn w:val="Normal"/>
    <w:next w:val="Normal"/>
    <w:semiHidden/>
    <w:rsid w:val="001B253C"/>
    <w:pPr>
      <w:outlineLvl w:val="4"/>
    </w:pPr>
    <w:rPr>
      <w:rFonts w:asciiTheme="majorHAnsi" w:hAnsiTheme="majorHAnsi"/>
      <w:b/>
      <w:bCs/>
      <w:iCs/>
      <w:szCs w:val="26"/>
    </w:rPr>
  </w:style>
  <w:style w:type="paragraph" w:styleId="Heading6">
    <w:name w:val="heading 6"/>
    <w:basedOn w:val="Normal"/>
    <w:next w:val="Normal"/>
    <w:link w:val="Heading6Char"/>
    <w:semiHidden/>
    <w:rsid w:val="00AE47B3"/>
    <w:pPr>
      <w:tabs>
        <w:tab w:val="left" w:pos="4253"/>
      </w:tabs>
      <w:spacing w:line="240" w:lineRule="auto"/>
      <w:ind w:left="4253" w:hanging="567"/>
      <w:jc w:val="both"/>
      <w:outlineLvl w:val="5"/>
    </w:pPr>
    <w:rPr>
      <w:b/>
      <w:lang w:eastAsia="en-US"/>
    </w:rPr>
  </w:style>
  <w:style w:type="paragraph" w:styleId="Heading7">
    <w:name w:val="heading 7"/>
    <w:basedOn w:val="Normal"/>
    <w:next w:val="Normal"/>
    <w:link w:val="Heading7Char"/>
    <w:semiHidden/>
    <w:rsid w:val="00AE47B3"/>
    <w:pPr>
      <w:tabs>
        <w:tab w:val="num" w:pos="4820"/>
      </w:tabs>
      <w:spacing w:line="240" w:lineRule="auto"/>
      <w:ind w:left="4820" w:hanging="567"/>
      <w:jc w:val="both"/>
      <w:outlineLvl w:val="6"/>
    </w:pPr>
    <w:rPr>
      <w:b/>
      <w:lang w:eastAsia="en-US"/>
    </w:rPr>
  </w:style>
  <w:style w:type="paragraph" w:styleId="Heading8">
    <w:name w:val="heading 8"/>
    <w:basedOn w:val="Normal"/>
    <w:next w:val="Normal"/>
    <w:link w:val="Heading8Char"/>
    <w:semiHidden/>
    <w:rsid w:val="00AE47B3"/>
    <w:pPr>
      <w:tabs>
        <w:tab w:val="num" w:pos="5387"/>
      </w:tabs>
      <w:spacing w:line="240" w:lineRule="auto"/>
      <w:ind w:left="5387" w:hanging="567"/>
      <w:jc w:val="both"/>
      <w:outlineLvl w:val="7"/>
    </w:pPr>
    <w:rPr>
      <w:b/>
      <w:lang w:eastAsia="en-US"/>
    </w:rPr>
  </w:style>
  <w:style w:type="paragraph" w:styleId="Heading9">
    <w:name w:val="heading 9"/>
    <w:basedOn w:val="Normal"/>
    <w:next w:val="Normal"/>
    <w:link w:val="Heading9Char"/>
    <w:semiHidden/>
    <w:rsid w:val="00AE47B3"/>
    <w:pPr>
      <w:tabs>
        <w:tab w:val="num" w:pos="5954"/>
      </w:tabs>
      <w:spacing w:line="240" w:lineRule="auto"/>
      <w:ind w:left="5954" w:hanging="567"/>
      <w:jc w:val="both"/>
      <w:outlineLvl w:val="8"/>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6DD4"/>
    <w:pPr>
      <w:spacing w:line="360" w:lineRule="auto"/>
    </w:pPr>
    <w:rPr>
      <w:rFonts w:ascii="Arial" w:hAnsi="Arial"/>
    </w:rPr>
    <w:tblPr/>
  </w:style>
  <w:style w:type="paragraph" w:styleId="Header">
    <w:name w:val="header"/>
    <w:basedOn w:val="Normal"/>
    <w:rsid w:val="00C22088"/>
    <w:pPr>
      <w:tabs>
        <w:tab w:val="center" w:pos="4153"/>
        <w:tab w:val="right" w:pos="8306"/>
      </w:tabs>
      <w:spacing w:after="0" w:line="240" w:lineRule="auto"/>
    </w:pPr>
    <w:rPr>
      <w:sz w:val="16"/>
    </w:rPr>
  </w:style>
  <w:style w:type="paragraph" w:styleId="Footer">
    <w:name w:val="footer"/>
    <w:aliases w:val="5 PG Footer"/>
    <w:basedOn w:val="Normal"/>
    <w:link w:val="FooterChar"/>
    <w:uiPriority w:val="99"/>
    <w:qFormat/>
    <w:rsid w:val="00910DEC"/>
    <w:pPr>
      <w:tabs>
        <w:tab w:val="right" w:pos="8760"/>
      </w:tabs>
      <w:spacing w:after="0" w:line="240" w:lineRule="auto"/>
    </w:pPr>
    <w:rPr>
      <w:color w:val="000000" w:themeColor="text2"/>
      <w:sz w:val="18"/>
      <w:szCs w:val="14"/>
    </w:rPr>
  </w:style>
  <w:style w:type="paragraph" w:customStyle="1" w:styleId="Address">
    <w:name w:val="Address"/>
    <w:basedOn w:val="Normal"/>
    <w:rsid w:val="00174ADF"/>
    <w:pPr>
      <w:adjustRightInd w:val="0"/>
      <w:snapToGrid w:val="0"/>
      <w:spacing w:after="907" w:line="282" w:lineRule="atLeast"/>
      <w:contextualSpacing/>
    </w:pPr>
    <w:rPr>
      <w:rFonts w:eastAsia="MS Mincho"/>
      <w:color w:val="000000" w:themeColor="text1"/>
      <w:szCs w:val="20"/>
      <w:lang w:eastAsia="ja-JP"/>
    </w:rPr>
  </w:style>
  <w:style w:type="character" w:styleId="PageNumber">
    <w:name w:val="page number"/>
    <w:basedOn w:val="DefaultParagraphFont"/>
    <w:rsid w:val="00AE47B3"/>
    <w:rPr>
      <w:sz w:val="16"/>
    </w:rPr>
  </w:style>
  <w:style w:type="paragraph" w:customStyle="1" w:styleId="SenderName">
    <w:name w:val="Sender Name"/>
    <w:basedOn w:val="Normal"/>
    <w:qFormat/>
    <w:rsid w:val="00A47202"/>
    <w:pPr>
      <w:contextualSpacing/>
    </w:pPr>
  </w:style>
  <w:style w:type="paragraph" w:customStyle="1" w:styleId="Subject">
    <w:name w:val="Subject"/>
    <w:basedOn w:val="Normal"/>
    <w:next w:val="Normal"/>
    <w:qFormat/>
    <w:rsid w:val="00174ADF"/>
    <w:pPr>
      <w:spacing w:after="454"/>
      <w:contextualSpacing/>
    </w:pPr>
    <w:rPr>
      <w:b/>
      <w:bCs/>
    </w:rPr>
  </w:style>
  <w:style w:type="character" w:styleId="PlaceholderText">
    <w:name w:val="Placeholder Text"/>
    <w:basedOn w:val="DefaultParagraphFont"/>
    <w:uiPriority w:val="99"/>
    <w:semiHidden/>
    <w:rsid w:val="003D2982"/>
    <w:rPr>
      <w:color w:val="FF0000"/>
    </w:rPr>
  </w:style>
  <w:style w:type="paragraph" w:styleId="BalloonText">
    <w:name w:val="Balloon Text"/>
    <w:basedOn w:val="Normal"/>
    <w:link w:val="BalloonTextChar"/>
    <w:semiHidden/>
    <w:rsid w:val="007756B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13BC"/>
    <w:rPr>
      <w:rFonts w:ascii="Tahoma" w:hAnsi="Tahoma" w:cs="Tahoma"/>
      <w:sz w:val="16"/>
      <w:szCs w:val="16"/>
    </w:rPr>
  </w:style>
  <w:style w:type="paragraph" w:customStyle="1" w:styleId="SenderAddress">
    <w:name w:val="Sender Address"/>
    <w:basedOn w:val="Normal"/>
    <w:qFormat/>
    <w:rsid w:val="00CF5BD9"/>
    <w:pPr>
      <w:spacing w:line="198" w:lineRule="atLeast"/>
    </w:pPr>
    <w:rPr>
      <w:sz w:val="15"/>
    </w:rPr>
  </w:style>
  <w:style w:type="character" w:customStyle="1" w:styleId="Heading6Char">
    <w:name w:val="Heading 6 Char"/>
    <w:basedOn w:val="DefaultParagraphFont"/>
    <w:link w:val="Heading6"/>
    <w:semiHidden/>
    <w:rsid w:val="00C1601D"/>
    <w:rPr>
      <w:rFonts w:ascii="Arial" w:eastAsia="MS Mincho" w:hAnsi="Arial"/>
      <w:b/>
      <w:lang w:eastAsia="en-US"/>
    </w:rPr>
  </w:style>
  <w:style w:type="character" w:customStyle="1" w:styleId="Heading7Char">
    <w:name w:val="Heading 7 Char"/>
    <w:basedOn w:val="DefaultParagraphFont"/>
    <w:link w:val="Heading7"/>
    <w:semiHidden/>
    <w:rsid w:val="00C1601D"/>
    <w:rPr>
      <w:rFonts w:ascii="Arial" w:eastAsia="MS Mincho" w:hAnsi="Arial"/>
      <w:b/>
      <w:lang w:eastAsia="en-US"/>
    </w:rPr>
  </w:style>
  <w:style w:type="character" w:customStyle="1" w:styleId="Heading8Char">
    <w:name w:val="Heading 8 Char"/>
    <w:basedOn w:val="DefaultParagraphFont"/>
    <w:link w:val="Heading8"/>
    <w:semiHidden/>
    <w:rsid w:val="00C1601D"/>
    <w:rPr>
      <w:rFonts w:ascii="Arial" w:eastAsia="MS Mincho" w:hAnsi="Arial"/>
      <w:b/>
      <w:lang w:eastAsia="en-US"/>
    </w:rPr>
  </w:style>
  <w:style w:type="character" w:customStyle="1" w:styleId="Heading9Char">
    <w:name w:val="Heading 9 Char"/>
    <w:basedOn w:val="DefaultParagraphFont"/>
    <w:link w:val="Heading9"/>
    <w:semiHidden/>
    <w:rsid w:val="00C1601D"/>
    <w:rPr>
      <w:rFonts w:ascii="Arial" w:eastAsia="MS Mincho" w:hAnsi="Arial"/>
      <w:b/>
      <w:lang w:eastAsia="en-US"/>
    </w:rPr>
  </w:style>
  <w:style w:type="paragraph" w:styleId="ListBullet">
    <w:name w:val="List Bullet"/>
    <w:basedOn w:val="Normal"/>
    <w:uiPriority w:val="1"/>
    <w:qFormat/>
    <w:rsid w:val="00BD1F0A"/>
    <w:pPr>
      <w:numPr>
        <w:numId w:val="7"/>
      </w:numPr>
    </w:pPr>
  </w:style>
  <w:style w:type="numbering" w:customStyle="1" w:styleId="NumberedHeadings">
    <w:name w:val="Numbered Headings"/>
    <w:uiPriority w:val="99"/>
    <w:rsid w:val="00212BA6"/>
    <w:pPr>
      <w:numPr>
        <w:numId w:val="1"/>
      </w:numPr>
    </w:pPr>
  </w:style>
  <w:style w:type="paragraph" w:styleId="ListNumber">
    <w:name w:val="List Number"/>
    <w:basedOn w:val="Normal"/>
    <w:uiPriority w:val="2"/>
    <w:qFormat/>
    <w:rsid w:val="00BD1F0A"/>
    <w:pPr>
      <w:numPr>
        <w:numId w:val="6"/>
      </w:numPr>
      <w:ind w:left="357" w:hanging="357"/>
    </w:pPr>
  </w:style>
  <w:style w:type="paragraph" w:styleId="ListBullet5">
    <w:name w:val="List Bullet 5"/>
    <w:basedOn w:val="Normal"/>
    <w:semiHidden/>
    <w:rsid w:val="005B525A"/>
    <w:pPr>
      <w:contextualSpacing/>
    </w:pPr>
  </w:style>
  <w:style w:type="paragraph" w:styleId="ListNumber4">
    <w:name w:val="List Number 4"/>
    <w:basedOn w:val="Normal"/>
    <w:semiHidden/>
    <w:rsid w:val="00BD6E32"/>
    <w:pPr>
      <w:numPr>
        <w:ilvl w:val="3"/>
        <w:numId w:val="3"/>
      </w:numPr>
      <w:contextualSpacing/>
    </w:pPr>
  </w:style>
  <w:style w:type="paragraph" w:styleId="ListNumber5">
    <w:name w:val="List Number 5"/>
    <w:basedOn w:val="Normal"/>
    <w:semiHidden/>
    <w:rsid w:val="00BD6E32"/>
    <w:pPr>
      <w:numPr>
        <w:ilvl w:val="4"/>
        <w:numId w:val="3"/>
      </w:numPr>
      <w:contextualSpacing/>
    </w:pPr>
  </w:style>
  <w:style w:type="paragraph" w:styleId="Subtitle">
    <w:name w:val="Subtitle"/>
    <w:basedOn w:val="Normal"/>
    <w:next w:val="Normal"/>
    <w:link w:val="SubtitleChar"/>
    <w:semiHidden/>
    <w:rsid w:val="00FC230A"/>
    <w:pPr>
      <w:framePr w:w="10206" w:vSpace="567" w:wrap="notBeside" w:vAnchor="text" w:hAnchor="text" w:y="1"/>
      <w:numPr>
        <w:ilvl w:val="1"/>
      </w:numPr>
      <w:spacing w:after="240"/>
    </w:pPr>
    <w:rPr>
      <w:rFonts w:asciiTheme="majorHAnsi" w:eastAsiaTheme="majorEastAsia" w:hAnsiTheme="majorHAnsi" w:cstheme="majorBidi"/>
      <w:iCs/>
      <w:color w:val="003DA5"/>
      <w:sz w:val="24"/>
    </w:rPr>
  </w:style>
  <w:style w:type="numbering" w:customStyle="1" w:styleId="BULLETS">
    <w:name w:val="BULLETS"/>
    <w:uiPriority w:val="99"/>
    <w:rsid w:val="001B253C"/>
    <w:pPr>
      <w:numPr>
        <w:numId w:val="2"/>
      </w:numPr>
    </w:pPr>
  </w:style>
  <w:style w:type="character" w:customStyle="1" w:styleId="Heading3Char">
    <w:name w:val="Heading 3 Char"/>
    <w:basedOn w:val="DefaultParagraphFont"/>
    <w:link w:val="Heading3"/>
    <w:rsid w:val="00B61315"/>
    <w:rPr>
      <w:rFonts w:ascii="Lato Light" w:hAnsi="Lato Light" w:cs="Arial"/>
      <w:b/>
      <w:bCs/>
      <w:color w:val="000000" w:themeColor="text2"/>
      <w:sz w:val="22"/>
      <w:szCs w:val="24"/>
    </w:rPr>
  </w:style>
  <w:style w:type="paragraph" w:styleId="Title">
    <w:name w:val="Title"/>
    <w:basedOn w:val="Normal"/>
    <w:next w:val="Subtitle"/>
    <w:link w:val="TitleChar"/>
    <w:semiHidden/>
    <w:rsid w:val="00FC230A"/>
    <w:pPr>
      <w:framePr w:w="10206" w:vSpace="567" w:wrap="notBeside" w:vAnchor="text" w:hAnchor="text" w:y="1"/>
      <w:spacing w:after="120" w:line="240" w:lineRule="auto"/>
      <w:contextualSpacing/>
    </w:pPr>
    <w:rPr>
      <w:rFonts w:asciiTheme="majorHAnsi" w:eastAsiaTheme="majorEastAsia" w:hAnsiTheme="majorHAnsi" w:cstheme="majorBidi"/>
      <w:b/>
      <w:color w:val="003DA5"/>
      <w:spacing w:val="5"/>
      <w:kern w:val="28"/>
      <w:sz w:val="46"/>
      <w:szCs w:val="52"/>
    </w:rPr>
  </w:style>
  <w:style w:type="character" w:customStyle="1" w:styleId="Heading1Char">
    <w:name w:val="Heading 1 Char"/>
    <w:basedOn w:val="DefaultParagraphFont"/>
    <w:link w:val="Heading1"/>
    <w:rsid w:val="00B61315"/>
    <w:rPr>
      <w:rFonts w:ascii="Lato Light" w:hAnsi="Lato Light" w:cs="Arial"/>
      <w:b/>
      <w:bCs/>
      <w:color w:val="000000" w:themeColor="text2"/>
      <w:kern w:val="32"/>
      <w:sz w:val="28"/>
      <w:szCs w:val="32"/>
    </w:rPr>
  </w:style>
  <w:style w:type="character" w:customStyle="1" w:styleId="TitleChar">
    <w:name w:val="Title Char"/>
    <w:basedOn w:val="DefaultParagraphFont"/>
    <w:link w:val="Title"/>
    <w:semiHidden/>
    <w:rsid w:val="00853832"/>
    <w:rPr>
      <w:rFonts w:asciiTheme="majorHAnsi" w:eastAsiaTheme="majorEastAsia" w:hAnsiTheme="majorHAnsi" w:cstheme="majorBidi"/>
      <w:b/>
      <w:color w:val="003DA5"/>
      <w:spacing w:val="5"/>
      <w:kern w:val="28"/>
      <w:sz w:val="46"/>
      <w:szCs w:val="52"/>
    </w:rPr>
  </w:style>
  <w:style w:type="character" w:customStyle="1" w:styleId="SubtitleChar">
    <w:name w:val="Subtitle Char"/>
    <w:basedOn w:val="DefaultParagraphFont"/>
    <w:link w:val="Subtitle"/>
    <w:semiHidden/>
    <w:rsid w:val="00853832"/>
    <w:rPr>
      <w:rFonts w:asciiTheme="majorHAnsi" w:eastAsiaTheme="majorEastAsia" w:hAnsiTheme="majorHAnsi" w:cstheme="majorBidi"/>
      <w:iCs/>
      <w:color w:val="003DA5"/>
      <w:sz w:val="24"/>
      <w:szCs w:val="24"/>
    </w:rPr>
  </w:style>
  <w:style w:type="character" w:customStyle="1" w:styleId="Heading2Char">
    <w:name w:val="Heading 2 Char"/>
    <w:basedOn w:val="DefaultParagraphFont"/>
    <w:link w:val="Heading2"/>
    <w:rsid w:val="00B61315"/>
    <w:rPr>
      <w:rFonts w:ascii="Lato Light" w:hAnsi="Lato Light" w:cs="Arial"/>
      <w:b/>
      <w:bCs/>
      <w:iCs/>
      <w:color w:val="000000" w:themeColor="text2"/>
      <w:sz w:val="24"/>
      <w:szCs w:val="24"/>
    </w:rPr>
  </w:style>
  <w:style w:type="numbering" w:customStyle="1" w:styleId="Bullets0">
    <w:name w:val="Bullets"/>
    <w:uiPriority w:val="99"/>
    <w:rsid w:val="00AE42EE"/>
    <w:pPr>
      <w:numPr>
        <w:numId w:val="4"/>
      </w:numPr>
    </w:pPr>
  </w:style>
  <w:style w:type="table" w:customStyle="1" w:styleId="VCTables">
    <w:name w:val="VC Tables"/>
    <w:basedOn w:val="TableNormal"/>
    <w:uiPriority w:val="99"/>
    <w:rsid w:val="00F335A8"/>
    <w:rPr>
      <w:rFonts w:asciiTheme="minorHAnsi" w:eastAsia="MS Mincho" w:hAnsiTheme="minorHAnsi"/>
      <w:color w:val="B58150" w:themeColor="background2"/>
      <w:lang w:val="en-GB" w:eastAsia="en-GB"/>
    </w:rPr>
    <w:tblPr>
      <w:tblStyleRowBandSize w:val="1"/>
      <w:tblStyleColBandSize w:val="1"/>
      <w:tblBorders>
        <w:top w:val="single" w:sz="8" w:space="0" w:color="DAD9D3"/>
        <w:bottom w:val="single" w:sz="18" w:space="0" w:color="57554F"/>
        <w:insideH w:val="single" w:sz="8" w:space="0" w:color="DAD9D3"/>
      </w:tblBorders>
      <w:tblCellMar>
        <w:top w:w="57" w:type="dxa"/>
        <w:left w:w="57" w:type="dxa"/>
        <w:bottom w:w="57" w:type="dxa"/>
        <w:right w:w="57" w:type="dxa"/>
      </w:tblCellMar>
    </w:tblPr>
    <w:tblStylePr w:type="firstRow">
      <w:pPr>
        <w:jc w:val="left"/>
      </w:pPr>
      <w:rPr>
        <w:b/>
      </w:rPr>
      <w:tblPr/>
      <w:tcPr>
        <w:tcBorders>
          <w:top w:val="nil"/>
          <w:left w:val="nil"/>
          <w:bottom w:val="single" w:sz="18" w:space="0" w:color="57554F"/>
          <w:right w:val="nil"/>
          <w:insideH w:val="nil"/>
          <w:insideV w:val="nil"/>
          <w:tl2br w:val="nil"/>
          <w:tr2bl w:val="nil"/>
        </w:tcBorders>
      </w:tcPr>
    </w:tblStylePr>
    <w:tblStylePr w:type="lastRow">
      <w:rPr>
        <w:b/>
        <w:color w:val="000000" w:themeColor="text2"/>
      </w:rPr>
      <w:tblPr/>
      <w:tcPr>
        <w:tcBorders>
          <w:top w:val="single" w:sz="8" w:space="0" w:color="B58150" w:themeColor="background2"/>
          <w:bottom w:val="single" w:sz="8" w:space="0" w:color="B58150" w:themeColor="background2"/>
        </w:tcBorders>
      </w:tcPr>
    </w:tblStylePr>
    <w:tblStylePr w:type="band1Vert">
      <w:tblPr/>
      <w:tcPr>
        <w:shd w:val="clear" w:color="auto" w:fill="EDECE5"/>
      </w:tcPr>
    </w:tblStylePr>
    <w:tblStylePr w:type="band1Horz">
      <w:tblPr/>
      <w:tcPr>
        <w:shd w:val="clear" w:color="auto" w:fill="EDECE5"/>
      </w:tcPr>
    </w:tblStylePr>
    <w:tblStylePr w:type="band2Horz">
      <w:tblPr/>
      <w:tcPr>
        <w:shd w:val="clear" w:color="auto" w:fill="FFFFFF" w:themeFill="background1"/>
      </w:tcPr>
    </w:tblStylePr>
  </w:style>
  <w:style w:type="numbering" w:customStyle="1" w:styleId="ListNumbers">
    <w:name w:val="List Numbers"/>
    <w:uiPriority w:val="99"/>
    <w:rsid w:val="00A35128"/>
    <w:pPr>
      <w:numPr>
        <w:numId w:val="5"/>
      </w:numPr>
    </w:pPr>
  </w:style>
  <w:style w:type="table" w:styleId="TableSubtle2">
    <w:name w:val="Table Subtle 2"/>
    <w:basedOn w:val="TableNormal"/>
    <w:rsid w:val="003D2982"/>
    <w:pPr>
      <w:adjustRightInd w:val="0"/>
      <w:snapToGrid w:val="0"/>
      <w:spacing w:after="120"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A23626"/>
    <w:pPr>
      <w:spacing w:before="100" w:beforeAutospacing="1" w:after="100" w:afterAutospacing="1" w:line="240" w:lineRule="auto"/>
    </w:pPr>
    <w:rPr>
      <w:rFonts w:ascii="Times New Roman" w:eastAsiaTheme="minorEastAsia" w:hAnsi="Times New Roman"/>
      <w:color w:val="auto"/>
      <w:sz w:val="24"/>
    </w:rPr>
  </w:style>
  <w:style w:type="table" w:customStyle="1" w:styleId="LayoutGrid">
    <w:name w:val="Layout Grid"/>
    <w:basedOn w:val="TableNormal"/>
    <w:uiPriority w:val="99"/>
    <w:rsid w:val="004F5DAD"/>
    <w:rPr>
      <w:rFonts w:asciiTheme="minorHAnsi" w:hAnsiTheme="minorHAnsi"/>
    </w:rPr>
    <w:tblPr>
      <w:tblCellMar>
        <w:left w:w="0" w:type="dxa"/>
        <w:right w:w="0" w:type="dxa"/>
      </w:tblCellMar>
    </w:tblPr>
  </w:style>
  <w:style w:type="character" w:styleId="Hyperlink">
    <w:name w:val="Hyperlink"/>
    <w:basedOn w:val="DefaultParagraphFont"/>
    <w:uiPriority w:val="99"/>
    <w:semiHidden/>
    <w:rsid w:val="00E20320"/>
    <w:rPr>
      <w:color w:val="5B8AB7" w:themeColor="accent2" w:themeShade="BF"/>
      <w:u w:val="single"/>
    </w:rPr>
  </w:style>
  <w:style w:type="paragraph" w:customStyle="1" w:styleId="Pagedate">
    <w:name w:val="Page date"/>
    <w:basedOn w:val="Normal"/>
    <w:qFormat/>
    <w:rsid w:val="00174ADF"/>
    <w:pPr>
      <w:spacing w:after="907"/>
    </w:pPr>
  </w:style>
  <w:style w:type="paragraph" w:styleId="Date">
    <w:name w:val="Date"/>
    <w:basedOn w:val="Normal"/>
    <w:next w:val="Normal"/>
    <w:link w:val="DateChar"/>
    <w:rsid w:val="00A8105B"/>
  </w:style>
  <w:style w:type="character" w:customStyle="1" w:styleId="DateChar">
    <w:name w:val="Date Char"/>
    <w:basedOn w:val="DefaultParagraphFont"/>
    <w:link w:val="Date"/>
    <w:rsid w:val="00A8105B"/>
    <w:rPr>
      <w:rFonts w:ascii="Lato Light" w:hAnsi="Lato Light"/>
      <w:color w:val="000000"/>
      <w:sz w:val="22"/>
      <w:szCs w:val="24"/>
      <w:lang w:val="en-US"/>
    </w:rPr>
  </w:style>
  <w:style w:type="character" w:styleId="CommentReference">
    <w:name w:val="annotation reference"/>
    <w:basedOn w:val="DefaultParagraphFont"/>
    <w:uiPriority w:val="99"/>
    <w:rsid w:val="00F47C5D"/>
    <w:rPr>
      <w:sz w:val="16"/>
      <w:szCs w:val="16"/>
    </w:rPr>
  </w:style>
  <w:style w:type="paragraph" w:styleId="CommentText">
    <w:name w:val="annotation text"/>
    <w:basedOn w:val="Normal"/>
    <w:link w:val="CommentTextChar"/>
    <w:uiPriority w:val="99"/>
    <w:rsid w:val="00F47C5D"/>
    <w:pPr>
      <w:spacing w:line="240" w:lineRule="auto"/>
    </w:pPr>
    <w:rPr>
      <w:sz w:val="20"/>
      <w:szCs w:val="20"/>
    </w:rPr>
  </w:style>
  <w:style w:type="character" w:customStyle="1" w:styleId="CommentTextChar">
    <w:name w:val="Comment Text Char"/>
    <w:basedOn w:val="DefaultParagraphFont"/>
    <w:link w:val="CommentText"/>
    <w:uiPriority w:val="99"/>
    <w:rsid w:val="00F47C5D"/>
    <w:rPr>
      <w:rFonts w:ascii="Lato Light" w:hAnsi="Lato Light"/>
      <w:color w:val="000000"/>
      <w:lang w:val="en-US"/>
    </w:rPr>
  </w:style>
  <w:style w:type="paragraph" w:styleId="CommentSubject">
    <w:name w:val="annotation subject"/>
    <w:basedOn w:val="CommentText"/>
    <w:next w:val="CommentText"/>
    <w:link w:val="CommentSubjectChar"/>
    <w:rsid w:val="00F47C5D"/>
    <w:rPr>
      <w:b/>
      <w:bCs/>
    </w:rPr>
  </w:style>
  <w:style w:type="character" w:customStyle="1" w:styleId="CommentSubjectChar">
    <w:name w:val="Comment Subject Char"/>
    <w:basedOn w:val="CommentTextChar"/>
    <w:link w:val="CommentSubject"/>
    <w:rsid w:val="00F47C5D"/>
    <w:rPr>
      <w:rFonts w:ascii="Lato Light" w:hAnsi="Lato Light"/>
      <w:b/>
      <w:bCs/>
      <w:color w:val="000000"/>
      <w:lang w:val="en-US"/>
    </w:rPr>
  </w:style>
  <w:style w:type="character" w:customStyle="1" w:styleId="FooterChar">
    <w:name w:val="Footer Char"/>
    <w:aliases w:val="5 PG Footer Char"/>
    <w:basedOn w:val="DefaultParagraphFont"/>
    <w:link w:val="Footer"/>
    <w:uiPriority w:val="99"/>
    <w:rsid w:val="003E7807"/>
    <w:rPr>
      <w:rFonts w:ascii="Lato Light" w:hAnsi="Lato Light"/>
      <w:color w:val="000000" w:themeColor="text2"/>
      <w:sz w:val="18"/>
      <w:szCs w:val="14"/>
      <w:lang w:val="en-US"/>
    </w:rPr>
  </w:style>
  <w:style w:type="paragraph" w:customStyle="1" w:styleId="4PGFooterentity">
    <w:name w:val="4 PG Footer entity"/>
    <w:basedOn w:val="Footer"/>
    <w:link w:val="4PGFooterentityChar"/>
    <w:qFormat/>
    <w:rsid w:val="003E7807"/>
    <w:pPr>
      <w:tabs>
        <w:tab w:val="clear" w:pos="8760"/>
        <w:tab w:val="left" w:pos="2948"/>
        <w:tab w:val="left" w:pos="5897"/>
      </w:tabs>
      <w:spacing w:after="120" w:line="200" w:lineRule="exact"/>
    </w:pPr>
    <w:rPr>
      <w:rFonts w:ascii="Lato" w:eastAsiaTheme="minorHAnsi" w:hAnsi="Lato"/>
      <w:b/>
      <w:color w:val="677F91"/>
      <w:sz w:val="16"/>
      <w:szCs w:val="15"/>
      <w:lang w:val="en-GB" w:eastAsia="en-US"/>
    </w:rPr>
  </w:style>
  <w:style w:type="character" w:customStyle="1" w:styleId="4PGFooterentityChar">
    <w:name w:val="4 PG Footer entity Char"/>
    <w:basedOn w:val="FooterChar"/>
    <w:link w:val="4PGFooterentity"/>
    <w:rsid w:val="003E7807"/>
    <w:rPr>
      <w:rFonts w:ascii="Lato" w:eastAsiaTheme="minorHAnsi" w:hAnsi="Lato"/>
      <w:b/>
      <w:color w:val="677F91"/>
      <w:sz w:val="16"/>
      <w:szCs w:val="15"/>
      <w:lang w:val="en-GB" w:eastAsia="en-US"/>
    </w:rPr>
  </w:style>
  <w:style w:type="paragraph" w:styleId="Revision">
    <w:name w:val="Revision"/>
    <w:hidden/>
    <w:uiPriority w:val="99"/>
    <w:semiHidden/>
    <w:rsid w:val="00A47546"/>
    <w:rPr>
      <w:rFonts w:ascii="Lato Light" w:hAnsi="Lato Light"/>
      <w:color w:val="000000"/>
      <w:sz w:val="22"/>
      <w:szCs w:val="24"/>
      <w:lang w:val="en-US"/>
    </w:rPr>
  </w:style>
  <w:style w:type="paragraph" w:styleId="FootnoteText">
    <w:name w:val="footnote text"/>
    <w:aliases w:val="PG Footnote Text"/>
    <w:basedOn w:val="Normal"/>
    <w:link w:val="FootnoteTextChar"/>
    <w:qFormat/>
    <w:rsid w:val="00481127"/>
    <w:pPr>
      <w:spacing w:after="0" w:line="240" w:lineRule="auto"/>
    </w:pPr>
    <w:rPr>
      <w:sz w:val="20"/>
      <w:szCs w:val="20"/>
    </w:rPr>
  </w:style>
  <w:style w:type="character" w:customStyle="1" w:styleId="FootnoteTextChar">
    <w:name w:val="Footnote Text Char"/>
    <w:aliases w:val="PG Footnote Text Char"/>
    <w:basedOn w:val="DefaultParagraphFont"/>
    <w:link w:val="FootnoteText"/>
    <w:rsid w:val="00481127"/>
    <w:rPr>
      <w:rFonts w:ascii="Lato Light" w:hAnsi="Lato Light"/>
      <w:color w:val="000000"/>
      <w:lang w:val="en-US"/>
    </w:rPr>
  </w:style>
  <w:style w:type="character" w:styleId="FootnoteReference">
    <w:name w:val="footnote reference"/>
    <w:basedOn w:val="DefaultParagraphFont"/>
    <w:rsid w:val="00481127"/>
    <w:rPr>
      <w:vertAlign w:val="superscript"/>
    </w:rPr>
  </w:style>
  <w:style w:type="paragraph" w:styleId="ListParagraph">
    <w:name w:val="List Paragraph"/>
    <w:aliases w:val="PG bullet bold lead - level 1,1 Bullet,Bullet List"/>
    <w:basedOn w:val="Normal"/>
    <w:link w:val="ListParagraphChar"/>
    <w:uiPriority w:val="34"/>
    <w:qFormat/>
    <w:rsid w:val="00F8033A"/>
    <w:pPr>
      <w:ind w:left="720"/>
      <w:contextualSpacing/>
    </w:pPr>
  </w:style>
  <w:style w:type="paragraph" w:customStyle="1" w:styleId="Bodycopy913">
    <w:name w:val="Body copy 9/13"/>
    <w:basedOn w:val="Normal"/>
    <w:uiPriority w:val="99"/>
    <w:rsid w:val="0018183A"/>
    <w:pPr>
      <w:suppressAutoHyphens/>
      <w:autoSpaceDE w:val="0"/>
      <w:autoSpaceDN w:val="0"/>
      <w:adjustRightInd w:val="0"/>
      <w:spacing w:after="113" w:line="260" w:lineRule="atLeast"/>
      <w:jc w:val="both"/>
      <w:textAlignment w:val="center"/>
    </w:pPr>
    <w:rPr>
      <w:rFonts w:ascii="Lato-Light" w:eastAsiaTheme="minorHAnsi" w:hAnsi="Lato-Light" w:cs="Lato-Light"/>
      <w:sz w:val="18"/>
      <w:szCs w:val="18"/>
      <w:lang w:eastAsia="en-US"/>
    </w:rPr>
  </w:style>
  <w:style w:type="character" w:customStyle="1" w:styleId="UnresolvedMention1">
    <w:name w:val="Unresolved Mention1"/>
    <w:basedOn w:val="DefaultParagraphFont"/>
    <w:uiPriority w:val="99"/>
    <w:semiHidden/>
    <w:unhideWhenUsed/>
    <w:rsid w:val="00DC1283"/>
    <w:rPr>
      <w:color w:val="605E5C"/>
      <w:shd w:val="clear" w:color="auto" w:fill="E1DFDD"/>
    </w:rPr>
  </w:style>
  <w:style w:type="character" w:styleId="FollowedHyperlink">
    <w:name w:val="FollowedHyperlink"/>
    <w:basedOn w:val="DefaultParagraphFont"/>
    <w:semiHidden/>
    <w:unhideWhenUsed/>
    <w:rsid w:val="00934970"/>
    <w:rPr>
      <w:color w:val="A20067" w:themeColor="followedHyperlink"/>
      <w:u w:val="single"/>
    </w:rPr>
  </w:style>
  <w:style w:type="character" w:customStyle="1" w:styleId="ListParagraphChar">
    <w:name w:val="List Paragraph Char"/>
    <w:aliases w:val="PG bullet bold lead - level 1 Char,1 Bullet Char,Bullet List Char"/>
    <w:basedOn w:val="DefaultParagraphFont"/>
    <w:link w:val="ListParagraph"/>
    <w:uiPriority w:val="34"/>
    <w:locked/>
    <w:rsid w:val="005441E0"/>
    <w:rPr>
      <w:rFonts w:ascii="Lato Light" w:hAnsi="Lato Light"/>
      <w:color w:val="000000"/>
      <w:sz w:val="21"/>
      <w:szCs w:val="24"/>
      <w:lang w:val="en-US"/>
    </w:rPr>
  </w:style>
  <w:style w:type="paragraph" w:customStyle="1" w:styleId="Body">
    <w:name w:val="Body"/>
    <w:aliases w:val="by,Text,26,Body1,Text1,b10pt,B,byA,by 14pt,by + After:  10 pt,Line spacing:  ...,Line spacing:  Multiple 1.2 li,Line spacing:  Multiple 1.2 li + Frutiger 55 Roman...,Line spacing:  Multiple 1.2 li + Frutiger 55 Roman,heading2,2,Title1,t1,newBo,b"/>
    <w:basedOn w:val="Normal"/>
    <w:qFormat/>
    <w:rsid w:val="009312B4"/>
    <w:pPr>
      <w:spacing w:after="140" w:line="288" w:lineRule="auto"/>
      <w:jc w:val="both"/>
    </w:pPr>
    <w:rPr>
      <w:rFonts w:ascii="Arial" w:hAnsi="Arial"/>
      <w:color w:val="auto"/>
      <w:kern w:val="20"/>
      <w:sz w:val="20"/>
      <w:lang w:val="en-GB" w:eastAsia="en-GB"/>
    </w:rPr>
  </w:style>
  <w:style w:type="paragraph" w:customStyle="1" w:styleId="paragraph">
    <w:name w:val="paragraph"/>
    <w:basedOn w:val="Normal"/>
    <w:rsid w:val="003E4FD9"/>
    <w:pPr>
      <w:spacing w:before="100" w:beforeAutospacing="1" w:after="100" w:afterAutospacing="1" w:line="240" w:lineRule="auto"/>
    </w:pPr>
    <w:rPr>
      <w:rFonts w:ascii="Times New Roman" w:hAnsi="Times New Roman"/>
      <w:color w:val="auto"/>
      <w:sz w:val="24"/>
      <w:lang w:eastAsia="en-US"/>
    </w:rPr>
  </w:style>
  <w:style w:type="character" w:customStyle="1" w:styleId="normaltextrun">
    <w:name w:val="normaltextrun"/>
    <w:basedOn w:val="DefaultParagraphFont"/>
    <w:rsid w:val="003E4FD9"/>
  </w:style>
  <w:style w:type="character" w:customStyle="1" w:styleId="eop">
    <w:name w:val="eop"/>
    <w:basedOn w:val="DefaultParagraphFont"/>
    <w:rsid w:val="003E4FD9"/>
  </w:style>
  <w:style w:type="paragraph" w:customStyle="1" w:styleId="Body1">
    <w:name w:val="Body 1"/>
    <w:basedOn w:val="Normal"/>
    <w:link w:val="Body1Char"/>
    <w:rsid w:val="00585CEC"/>
    <w:pPr>
      <w:spacing w:after="0" w:line="240" w:lineRule="auto"/>
      <w:ind w:left="1440"/>
      <w:jc w:val="both"/>
    </w:pPr>
    <w:rPr>
      <w:rFonts w:ascii="Times New Roman" w:hAnsi="Times New Roman"/>
      <w:color w:val="auto"/>
      <w:sz w:val="22"/>
      <w:szCs w:val="20"/>
      <w:lang w:val="en-GB" w:eastAsia="en-US"/>
    </w:rPr>
  </w:style>
  <w:style w:type="character" w:customStyle="1" w:styleId="Body1Char">
    <w:name w:val="Body 1 Char"/>
    <w:link w:val="Body1"/>
    <w:rsid w:val="00585CEC"/>
    <w:rPr>
      <w:sz w:val="22"/>
      <w:lang w:val="en-GB" w:eastAsia="en-US"/>
    </w:rPr>
  </w:style>
  <w:style w:type="paragraph" w:styleId="BodyText">
    <w:name w:val="Body Text"/>
    <w:basedOn w:val="Normal"/>
    <w:link w:val="BodyTextChar"/>
    <w:rsid w:val="000429F9"/>
    <w:pPr>
      <w:spacing w:before="120" w:after="0" w:line="240" w:lineRule="atLeast"/>
      <w:jc w:val="both"/>
    </w:pPr>
    <w:rPr>
      <w:rFonts w:ascii="Credit Suisse Type Roman" w:eastAsia="MS PGothic" w:hAnsi="Credit Suisse Type Roman"/>
      <w:color w:val="auto"/>
      <w:sz w:val="20"/>
      <w:lang w:val="en-GB" w:eastAsia="zh-TW"/>
    </w:rPr>
  </w:style>
  <w:style w:type="character" w:customStyle="1" w:styleId="BodyTextChar">
    <w:name w:val="Body Text Char"/>
    <w:basedOn w:val="DefaultParagraphFont"/>
    <w:link w:val="BodyText"/>
    <w:rsid w:val="000429F9"/>
    <w:rPr>
      <w:rFonts w:ascii="Credit Suisse Type Roman" w:eastAsia="MS PGothic" w:hAnsi="Credit Suisse Type Roman"/>
      <w:szCs w:val="24"/>
      <w:lang w:val="en-GB" w:eastAsia="zh-TW"/>
    </w:rPr>
  </w:style>
  <w:style w:type="character" w:styleId="UnresolvedMention">
    <w:name w:val="Unresolved Mention"/>
    <w:basedOn w:val="DefaultParagraphFont"/>
    <w:uiPriority w:val="99"/>
    <w:semiHidden/>
    <w:unhideWhenUsed/>
    <w:rsid w:val="00FD7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
      <w:bodyDiv w:val="1"/>
      <w:marLeft w:val="0"/>
      <w:marRight w:val="0"/>
      <w:marTop w:val="0"/>
      <w:marBottom w:val="0"/>
      <w:divBdr>
        <w:top w:val="none" w:sz="0" w:space="0" w:color="auto"/>
        <w:left w:val="none" w:sz="0" w:space="0" w:color="auto"/>
        <w:bottom w:val="none" w:sz="0" w:space="0" w:color="auto"/>
        <w:right w:val="none" w:sz="0" w:space="0" w:color="auto"/>
      </w:divBdr>
    </w:div>
    <w:div w:id="47077102">
      <w:bodyDiv w:val="1"/>
      <w:marLeft w:val="0"/>
      <w:marRight w:val="0"/>
      <w:marTop w:val="0"/>
      <w:marBottom w:val="0"/>
      <w:divBdr>
        <w:top w:val="none" w:sz="0" w:space="0" w:color="auto"/>
        <w:left w:val="none" w:sz="0" w:space="0" w:color="auto"/>
        <w:bottom w:val="none" w:sz="0" w:space="0" w:color="auto"/>
        <w:right w:val="none" w:sz="0" w:space="0" w:color="auto"/>
      </w:divBdr>
    </w:div>
    <w:div w:id="64884636">
      <w:bodyDiv w:val="1"/>
      <w:marLeft w:val="0"/>
      <w:marRight w:val="0"/>
      <w:marTop w:val="0"/>
      <w:marBottom w:val="0"/>
      <w:divBdr>
        <w:top w:val="none" w:sz="0" w:space="0" w:color="auto"/>
        <w:left w:val="none" w:sz="0" w:space="0" w:color="auto"/>
        <w:bottom w:val="none" w:sz="0" w:space="0" w:color="auto"/>
        <w:right w:val="none" w:sz="0" w:space="0" w:color="auto"/>
      </w:divBdr>
    </w:div>
    <w:div w:id="100226677">
      <w:bodyDiv w:val="1"/>
      <w:marLeft w:val="0"/>
      <w:marRight w:val="0"/>
      <w:marTop w:val="0"/>
      <w:marBottom w:val="0"/>
      <w:divBdr>
        <w:top w:val="none" w:sz="0" w:space="0" w:color="auto"/>
        <w:left w:val="none" w:sz="0" w:space="0" w:color="auto"/>
        <w:bottom w:val="none" w:sz="0" w:space="0" w:color="auto"/>
        <w:right w:val="none" w:sz="0" w:space="0" w:color="auto"/>
      </w:divBdr>
    </w:div>
    <w:div w:id="109784030">
      <w:bodyDiv w:val="1"/>
      <w:marLeft w:val="0"/>
      <w:marRight w:val="0"/>
      <w:marTop w:val="0"/>
      <w:marBottom w:val="0"/>
      <w:divBdr>
        <w:top w:val="none" w:sz="0" w:space="0" w:color="auto"/>
        <w:left w:val="none" w:sz="0" w:space="0" w:color="auto"/>
        <w:bottom w:val="none" w:sz="0" w:space="0" w:color="auto"/>
        <w:right w:val="none" w:sz="0" w:space="0" w:color="auto"/>
      </w:divBdr>
    </w:div>
    <w:div w:id="166793777">
      <w:bodyDiv w:val="1"/>
      <w:marLeft w:val="0"/>
      <w:marRight w:val="0"/>
      <w:marTop w:val="0"/>
      <w:marBottom w:val="0"/>
      <w:divBdr>
        <w:top w:val="none" w:sz="0" w:space="0" w:color="auto"/>
        <w:left w:val="none" w:sz="0" w:space="0" w:color="auto"/>
        <w:bottom w:val="none" w:sz="0" w:space="0" w:color="auto"/>
        <w:right w:val="none" w:sz="0" w:space="0" w:color="auto"/>
      </w:divBdr>
      <w:divsChild>
        <w:div w:id="826436993">
          <w:marLeft w:val="0"/>
          <w:marRight w:val="0"/>
          <w:marTop w:val="0"/>
          <w:marBottom w:val="0"/>
          <w:divBdr>
            <w:top w:val="none" w:sz="0" w:space="0" w:color="auto"/>
            <w:left w:val="none" w:sz="0" w:space="0" w:color="auto"/>
            <w:bottom w:val="none" w:sz="0" w:space="0" w:color="auto"/>
            <w:right w:val="none" w:sz="0" w:space="0" w:color="auto"/>
          </w:divBdr>
        </w:div>
      </w:divsChild>
    </w:div>
    <w:div w:id="194200886">
      <w:bodyDiv w:val="1"/>
      <w:marLeft w:val="0"/>
      <w:marRight w:val="0"/>
      <w:marTop w:val="0"/>
      <w:marBottom w:val="0"/>
      <w:divBdr>
        <w:top w:val="none" w:sz="0" w:space="0" w:color="auto"/>
        <w:left w:val="none" w:sz="0" w:space="0" w:color="auto"/>
        <w:bottom w:val="none" w:sz="0" w:space="0" w:color="auto"/>
        <w:right w:val="none" w:sz="0" w:space="0" w:color="auto"/>
      </w:divBdr>
    </w:div>
    <w:div w:id="221526939">
      <w:bodyDiv w:val="1"/>
      <w:marLeft w:val="0"/>
      <w:marRight w:val="0"/>
      <w:marTop w:val="0"/>
      <w:marBottom w:val="0"/>
      <w:divBdr>
        <w:top w:val="none" w:sz="0" w:space="0" w:color="auto"/>
        <w:left w:val="none" w:sz="0" w:space="0" w:color="auto"/>
        <w:bottom w:val="none" w:sz="0" w:space="0" w:color="auto"/>
        <w:right w:val="none" w:sz="0" w:space="0" w:color="auto"/>
      </w:divBdr>
    </w:div>
    <w:div w:id="227032733">
      <w:bodyDiv w:val="1"/>
      <w:marLeft w:val="0"/>
      <w:marRight w:val="0"/>
      <w:marTop w:val="0"/>
      <w:marBottom w:val="0"/>
      <w:divBdr>
        <w:top w:val="none" w:sz="0" w:space="0" w:color="auto"/>
        <w:left w:val="none" w:sz="0" w:space="0" w:color="auto"/>
        <w:bottom w:val="none" w:sz="0" w:space="0" w:color="auto"/>
        <w:right w:val="none" w:sz="0" w:space="0" w:color="auto"/>
      </w:divBdr>
    </w:div>
    <w:div w:id="254753779">
      <w:bodyDiv w:val="1"/>
      <w:marLeft w:val="0"/>
      <w:marRight w:val="0"/>
      <w:marTop w:val="0"/>
      <w:marBottom w:val="0"/>
      <w:divBdr>
        <w:top w:val="none" w:sz="0" w:space="0" w:color="auto"/>
        <w:left w:val="none" w:sz="0" w:space="0" w:color="auto"/>
        <w:bottom w:val="none" w:sz="0" w:space="0" w:color="auto"/>
        <w:right w:val="none" w:sz="0" w:space="0" w:color="auto"/>
      </w:divBdr>
    </w:div>
    <w:div w:id="362563015">
      <w:bodyDiv w:val="1"/>
      <w:marLeft w:val="0"/>
      <w:marRight w:val="0"/>
      <w:marTop w:val="0"/>
      <w:marBottom w:val="0"/>
      <w:divBdr>
        <w:top w:val="none" w:sz="0" w:space="0" w:color="auto"/>
        <w:left w:val="none" w:sz="0" w:space="0" w:color="auto"/>
        <w:bottom w:val="none" w:sz="0" w:space="0" w:color="auto"/>
        <w:right w:val="none" w:sz="0" w:space="0" w:color="auto"/>
      </w:divBdr>
    </w:div>
    <w:div w:id="379977785">
      <w:bodyDiv w:val="1"/>
      <w:marLeft w:val="0"/>
      <w:marRight w:val="0"/>
      <w:marTop w:val="0"/>
      <w:marBottom w:val="0"/>
      <w:divBdr>
        <w:top w:val="none" w:sz="0" w:space="0" w:color="auto"/>
        <w:left w:val="none" w:sz="0" w:space="0" w:color="auto"/>
        <w:bottom w:val="none" w:sz="0" w:space="0" w:color="auto"/>
        <w:right w:val="none" w:sz="0" w:space="0" w:color="auto"/>
      </w:divBdr>
    </w:div>
    <w:div w:id="384064341">
      <w:bodyDiv w:val="1"/>
      <w:marLeft w:val="0"/>
      <w:marRight w:val="0"/>
      <w:marTop w:val="0"/>
      <w:marBottom w:val="0"/>
      <w:divBdr>
        <w:top w:val="none" w:sz="0" w:space="0" w:color="auto"/>
        <w:left w:val="none" w:sz="0" w:space="0" w:color="auto"/>
        <w:bottom w:val="none" w:sz="0" w:space="0" w:color="auto"/>
        <w:right w:val="none" w:sz="0" w:space="0" w:color="auto"/>
      </w:divBdr>
    </w:div>
    <w:div w:id="417097972">
      <w:bodyDiv w:val="1"/>
      <w:marLeft w:val="0"/>
      <w:marRight w:val="0"/>
      <w:marTop w:val="0"/>
      <w:marBottom w:val="0"/>
      <w:divBdr>
        <w:top w:val="none" w:sz="0" w:space="0" w:color="auto"/>
        <w:left w:val="none" w:sz="0" w:space="0" w:color="auto"/>
        <w:bottom w:val="none" w:sz="0" w:space="0" w:color="auto"/>
        <w:right w:val="none" w:sz="0" w:space="0" w:color="auto"/>
      </w:divBdr>
    </w:div>
    <w:div w:id="473988488">
      <w:bodyDiv w:val="1"/>
      <w:marLeft w:val="0"/>
      <w:marRight w:val="0"/>
      <w:marTop w:val="0"/>
      <w:marBottom w:val="0"/>
      <w:divBdr>
        <w:top w:val="none" w:sz="0" w:space="0" w:color="auto"/>
        <w:left w:val="none" w:sz="0" w:space="0" w:color="auto"/>
        <w:bottom w:val="none" w:sz="0" w:space="0" w:color="auto"/>
        <w:right w:val="none" w:sz="0" w:space="0" w:color="auto"/>
      </w:divBdr>
    </w:div>
    <w:div w:id="480780440">
      <w:bodyDiv w:val="1"/>
      <w:marLeft w:val="0"/>
      <w:marRight w:val="0"/>
      <w:marTop w:val="0"/>
      <w:marBottom w:val="0"/>
      <w:divBdr>
        <w:top w:val="none" w:sz="0" w:space="0" w:color="auto"/>
        <w:left w:val="none" w:sz="0" w:space="0" w:color="auto"/>
        <w:bottom w:val="none" w:sz="0" w:space="0" w:color="auto"/>
        <w:right w:val="none" w:sz="0" w:space="0" w:color="auto"/>
      </w:divBdr>
    </w:div>
    <w:div w:id="482040310">
      <w:bodyDiv w:val="1"/>
      <w:marLeft w:val="0"/>
      <w:marRight w:val="0"/>
      <w:marTop w:val="0"/>
      <w:marBottom w:val="0"/>
      <w:divBdr>
        <w:top w:val="none" w:sz="0" w:space="0" w:color="auto"/>
        <w:left w:val="none" w:sz="0" w:space="0" w:color="auto"/>
        <w:bottom w:val="none" w:sz="0" w:space="0" w:color="auto"/>
        <w:right w:val="none" w:sz="0" w:space="0" w:color="auto"/>
      </w:divBdr>
      <w:divsChild>
        <w:div w:id="562301391">
          <w:marLeft w:val="0"/>
          <w:marRight w:val="0"/>
          <w:marTop w:val="0"/>
          <w:marBottom w:val="0"/>
          <w:divBdr>
            <w:top w:val="none" w:sz="0" w:space="0" w:color="auto"/>
            <w:left w:val="none" w:sz="0" w:space="0" w:color="auto"/>
            <w:bottom w:val="none" w:sz="0" w:space="0" w:color="auto"/>
            <w:right w:val="none" w:sz="0" w:space="0" w:color="auto"/>
          </w:divBdr>
        </w:div>
        <w:div w:id="1236475456">
          <w:marLeft w:val="0"/>
          <w:marRight w:val="0"/>
          <w:marTop w:val="0"/>
          <w:marBottom w:val="0"/>
          <w:divBdr>
            <w:top w:val="none" w:sz="0" w:space="0" w:color="auto"/>
            <w:left w:val="none" w:sz="0" w:space="0" w:color="auto"/>
            <w:bottom w:val="none" w:sz="0" w:space="0" w:color="auto"/>
            <w:right w:val="none" w:sz="0" w:space="0" w:color="auto"/>
          </w:divBdr>
        </w:div>
      </w:divsChild>
    </w:div>
    <w:div w:id="593704137">
      <w:bodyDiv w:val="1"/>
      <w:marLeft w:val="0"/>
      <w:marRight w:val="0"/>
      <w:marTop w:val="0"/>
      <w:marBottom w:val="0"/>
      <w:divBdr>
        <w:top w:val="none" w:sz="0" w:space="0" w:color="auto"/>
        <w:left w:val="none" w:sz="0" w:space="0" w:color="auto"/>
        <w:bottom w:val="none" w:sz="0" w:space="0" w:color="auto"/>
        <w:right w:val="none" w:sz="0" w:space="0" w:color="auto"/>
      </w:divBdr>
    </w:div>
    <w:div w:id="686834292">
      <w:bodyDiv w:val="1"/>
      <w:marLeft w:val="0"/>
      <w:marRight w:val="0"/>
      <w:marTop w:val="0"/>
      <w:marBottom w:val="0"/>
      <w:divBdr>
        <w:top w:val="none" w:sz="0" w:space="0" w:color="auto"/>
        <w:left w:val="none" w:sz="0" w:space="0" w:color="auto"/>
        <w:bottom w:val="none" w:sz="0" w:space="0" w:color="auto"/>
        <w:right w:val="none" w:sz="0" w:space="0" w:color="auto"/>
      </w:divBdr>
    </w:div>
    <w:div w:id="688606154">
      <w:bodyDiv w:val="1"/>
      <w:marLeft w:val="0"/>
      <w:marRight w:val="0"/>
      <w:marTop w:val="0"/>
      <w:marBottom w:val="0"/>
      <w:divBdr>
        <w:top w:val="none" w:sz="0" w:space="0" w:color="auto"/>
        <w:left w:val="none" w:sz="0" w:space="0" w:color="auto"/>
        <w:bottom w:val="none" w:sz="0" w:space="0" w:color="auto"/>
        <w:right w:val="none" w:sz="0" w:space="0" w:color="auto"/>
      </w:divBdr>
    </w:div>
    <w:div w:id="707070132">
      <w:bodyDiv w:val="1"/>
      <w:marLeft w:val="0"/>
      <w:marRight w:val="0"/>
      <w:marTop w:val="0"/>
      <w:marBottom w:val="0"/>
      <w:divBdr>
        <w:top w:val="none" w:sz="0" w:space="0" w:color="auto"/>
        <w:left w:val="none" w:sz="0" w:space="0" w:color="auto"/>
        <w:bottom w:val="none" w:sz="0" w:space="0" w:color="auto"/>
        <w:right w:val="none" w:sz="0" w:space="0" w:color="auto"/>
      </w:divBdr>
    </w:div>
    <w:div w:id="733628549">
      <w:bodyDiv w:val="1"/>
      <w:marLeft w:val="0"/>
      <w:marRight w:val="0"/>
      <w:marTop w:val="0"/>
      <w:marBottom w:val="0"/>
      <w:divBdr>
        <w:top w:val="none" w:sz="0" w:space="0" w:color="auto"/>
        <w:left w:val="none" w:sz="0" w:space="0" w:color="auto"/>
        <w:bottom w:val="none" w:sz="0" w:space="0" w:color="auto"/>
        <w:right w:val="none" w:sz="0" w:space="0" w:color="auto"/>
      </w:divBdr>
    </w:div>
    <w:div w:id="832068590">
      <w:bodyDiv w:val="1"/>
      <w:marLeft w:val="0"/>
      <w:marRight w:val="0"/>
      <w:marTop w:val="0"/>
      <w:marBottom w:val="0"/>
      <w:divBdr>
        <w:top w:val="none" w:sz="0" w:space="0" w:color="auto"/>
        <w:left w:val="none" w:sz="0" w:space="0" w:color="auto"/>
        <w:bottom w:val="none" w:sz="0" w:space="0" w:color="auto"/>
        <w:right w:val="none" w:sz="0" w:space="0" w:color="auto"/>
      </w:divBdr>
    </w:div>
    <w:div w:id="1090466597">
      <w:bodyDiv w:val="1"/>
      <w:marLeft w:val="0"/>
      <w:marRight w:val="0"/>
      <w:marTop w:val="0"/>
      <w:marBottom w:val="0"/>
      <w:divBdr>
        <w:top w:val="none" w:sz="0" w:space="0" w:color="auto"/>
        <w:left w:val="none" w:sz="0" w:space="0" w:color="auto"/>
        <w:bottom w:val="none" w:sz="0" w:space="0" w:color="auto"/>
        <w:right w:val="none" w:sz="0" w:space="0" w:color="auto"/>
      </w:divBdr>
    </w:div>
    <w:div w:id="1257448260">
      <w:bodyDiv w:val="1"/>
      <w:marLeft w:val="0"/>
      <w:marRight w:val="0"/>
      <w:marTop w:val="0"/>
      <w:marBottom w:val="0"/>
      <w:divBdr>
        <w:top w:val="none" w:sz="0" w:space="0" w:color="auto"/>
        <w:left w:val="none" w:sz="0" w:space="0" w:color="auto"/>
        <w:bottom w:val="none" w:sz="0" w:space="0" w:color="auto"/>
        <w:right w:val="none" w:sz="0" w:space="0" w:color="auto"/>
      </w:divBdr>
      <w:divsChild>
        <w:div w:id="607470295">
          <w:marLeft w:val="346"/>
          <w:marRight w:val="0"/>
          <w:marTop w:val="240"/>
          <w:marBottom w:val="0"/>
          <w:divBdr>
            <w:top w:val="none" w:sz="0" w:space="0" w:color="auto"/>
            <w:left w:val="none" w:sz="0" w:space="0" w:color="auto"/>
            <w:bottom w:val="none" w:sz="0" w:space="0" w:color="auto"/>
            <w:right w:val="none" w:sz="0" w:space="0" w:color="auto"/>
          </w:divBdr>
        </w:div>
        <w:div w:id="1711954020">
          <w:marLeft w:val="346"/>
          <w:marRight w:val="0"/>
          <w:marTop w:val="240"/>
          <w:marBottom w:val="0"/>
          <w:divBdr>
            <w:top w:val="none" w:sz="0" w:space="0" w:color="auto"/>
            <w:left w:val="none" w:sz="0" w:space="0" w:color="auto"/>
            <w:bottom w:val="none" w:sz="0" w:space="0" w:color="auto"/>
            <w:right w:val="none" w:sz="0" w:space="0" w:color="auto"/>
          </w:divBdr>
        </w:div>
        <w:div w:id="2047439026">
          <w:marLeft w:val="346"/>
          <w:marRight w:val="0"/>
          <w:marTop w:val="240"/>
          <w:marBottom w:val="0"/>
          <w:divBdr>
            <w:top w:val="none" w:sz="0" w:space="0" w:color="auto"/>
            <w:left w:val="none" w:sz="0" w:space="0" w:color="auto"/>
            <w:bottom w:val="none" w:sz="0" w:space="0" w:color="auto"/>
            <w:right w:val="none" w:sz="0" w:space="0" w:color="auto"/>
          </w:divBdr>
        </w:div>
      </w:divsChild>
    </w:div>
    <w:div w:id="1259406606">
      <w:bodyDiv w:val="1"/>
      <w:marLeft w:val="0"/>
      <w:marRight w:val="0"/>
      <w:marTop w:val="0"/>
      <w:marBottom w:val="0"/>
      <w:divBdr>
        <w:top w:val="none" w:sz="0" w:space="0" w:color="auto"/>
        <w:left w:val="none" w:sz="0" w:space="0" w:color="auto"/>
        <w:bottom w:val="none" w:sz="0" w:space="0" w:color="auto"/>
        <w:right w:val="none" w:sz="0" w:space="0" w:color="auto"/>
      </w:divBdr>
    </w:div>
    <w:div w:id="1320887264">
      <w:bodyDiv w:val="1"/>
      <w:marLeft w:val="0"/>
      <w:marRight w:val="0"/>
      <w:marTop w:val="0"/>
      <w:marBottom w:val="0"/>
      <w:divBdr>
        <w:top w:val="none" w:sz="0" w:space="0" w:color="auto"/>
        <w:left w:val="none" w:sz="0" w:space="0" w:color="auto"/>
        <w:bottom w:val="none" w:sz="0" w:space="0" w:color="auto"/>
        <w:right w:val="none" w:sz="0" w:space="0" w:color="auto"/>
      </w:divBdr>
    </w:div>
    <w:div w:id="1381517255">
      <w:bodyDiv w:val="1"/>
      <w:marLeft w:val="0"/>
      <w:marRight w:val="0"/>
      <w:marTop w:val="0"/>
      <w:marBottom w:val="0"/>
      <w:divBdr>
        <w:top w:val="none" w:sz="0" w:space="0" w:color="auto"/>
        <w:left w:val="none" w:sz="0" w:space="0" w:color="auto"/>
        <w:bottom w:val="none" w:sz="0" w:space="0" w:color="auto"/>
        <w:right w:val="none" w:sz="0" w:space="0" w:color="auto"/>
      </w:divBdr>
    </w:div>
    <w:div w:id="1389301097">
      <w:bodyDiv w:val="1"/>
      <w:marLeft w:val="0"/>
      <w:marRight w:val="0"/>
      <w:marTop w:val="0"/>
      <w:marBottom w:val="0"/>
      <w:divBdr>
        <w:top w:val="none" w:sz="0" w:space="0" w:color="auto"/>
        <w:left w:val="none" w:sz="0" w:space="0" w:color="auto"/>
        <w:bottom w:val="none" w:sz="0" w:space="0" w:color="auto"/>
        <w:right w:val="none" w:sz="0" w:space="0" w:color="auto"/>
      </w:divBdr>
    </w:div>
    <w:div w:id="1480876814">
      <w:bodyDiv w:val="1"/>
      <w:marLeft w:val="0"/>
      <w:marRight w:val="0"/>
      <w:marTop w:val="0"/>
      <w:marBottom w:val="0"/>
      <w:divBdr>
        <w:top w:val="none" w:sz="0" w:space="0" w:color="auto"/>
        <w:left w:val="none" w:sz="0" w:space="0" w:color="auto"/>
        <w:bottom w:val="none" w:sz="0" w:space="0" w:color="auto"/>
        <w:right w:val="none" w:sz="0" w:space="0" w:color="auto"/>
      </w:divBdr>
      <w:divsChild>
        <w:div w:id="412163540">
          <w:marLeft w:val="346"/>
          <w:marRight w:val="0"/>
          <w:marTop w:val="240"/>
          <w:marBottom w:val="0"/>
          <w:divBdr>
            <w:top w:val="none" w:sz="0" w:space="0" w:color="auto"/>
            <w:left w:val="none" w:sz="0" w:space="0" w:color="auto"/>
            <w:bottom w:val="none" w:sz="0" w:space="0" w:color="auto"/>
            <w:right w:val="none" w:sz="0" w:space="0" w:color="auto"/>
          </w:divBdr>
        </w:div>
        <w:div w:id="1417508090">
          <w:marLeft w:val="346"/>
          <w:marRight w:val="0"/>
          <w:marTop w:val="240"/>
          <w:marBottom w:val="0"/>
          <w:divBdr>
            <w:top w:val="none" w:sz="0" w:space="0" w:color="auto"/>
            <w:left w:val="none" w:sz="0" w:space="0" w:color="auto"/>
            <w:bottom w:val="none" w:sz="0" w:space="0" w:color="auto"/>
            <w:right w:val="none" w:sz="0" w:space="0" w:color="auto"/>
          </w:divBdr>
        </w:div>
      </w:divsChild>
    </w:div>
    <w:div w:id="1487093642">
      <w:bodyDiv w:val="1"/>
      <w:marLeft w:val="0"/>
      <w:marRight w:val="0"/>
      <w:marTop w:val="0"/>
      <w:marBottom w:val="0"/>
      <w:divBdr>
        <w:top w:val="none" w:sz="0" w:space="0" w:color="auto"/>
        <w:left w:val="none" w:sz="0" w:space="0" w:color="auto"/>
        <w:bottom w:val="none" w:sz="0" w:space="0" w:color="auto"/>
        <w:right w:val="none" w:sz="0" w:space="0" w:color="auto"/>
      </w:divBdr>
    </w:div>
    <w:div w:id="1721662169">
      <w:bodyDiv w:val="1"/>
      <w:marLeft w:val="0"/>
      <w:marRight w:val="0"/>
      <w:marTop w:val="0"/>
      <w:marBottom w:val="0"/>
      <w:divBdr>
        <w:top w:val="none" w:sz="0" w:space="0" w:color="auto"/>
        <w:left w:val="none" w:sz="0" w:space="0" w:color="auto"/>
        <w:bottom w:val="none" w:sz="0" w:space="0" w:color="auto"/>
        <w:right w:val="none" w:sz="0" w:space="0" w:color="auto"/>
      </w:divBdr>
    </w:div>
    <w:div w:id="1786657353">
      <w:bodyDiv w:val="1"/>
      <w:marLeft w:val="0"/>
      <w:marRight w:val="0"/>
      <w:marTop w:val="0"/>
      <w:marBottom w:val="0"/>
      <w:divBdr>
        <w:top w:val="none" w:sz="0" w:space="0" w:color="auto"/>
        <w:left w:val="none" w:sz="0" w:space="0" w:color="auto"/>
        <w:bottom w:val="none" w:sz="0" w:space="0" w:color="auto"/>
        <w:right w:val="none" w:sz="0" w:space="0" w:color="auto"/>
      </w:divBdr>
      <w:divsChild>
        <w:div w:id="133641559">
          <w:marLeft w:val="346"/>
          <w:marRight w:val="0"/>
          <w:marTop w:val="240"/>
          <w:marBottom w:val="0"/>
          <w:divBdr>
            <w:top w:val="none" w:sz="0" w:space="0" w:color="auto"/>
            <w:left w:val="none" w:sz="0" w:space="0" w:color="auto"/>
            <w:bottom w:val="none" w:sz="0" w:space="0" w:color="auto"/>
            <w:right w:val="none" w:sz="0" w:space="0" w:color="auto"/>
          </w:divBdr>
        </w:div>
      </w:divsChild>
    </w:div>
    <w:div w:id="1796873168">
      <w:bodyDiv w:val="1"/>
      <w:marLeft w:val="0"/>
      <w:marRight w:val="0"/>
      <w:marTop w:val="0"/>
      <w:marBottom w:val="0"/>
      <w:divBdr>
        <w:top w:val="none" w:sz="0" w:space="0" w:color="auto"/>
        <w:left w:val="none" w:sz="0" w:space="0" w:color="auto"/>
        <w:bottom w:val="none" w:sz="0" w:space="0" w:color="auto"/>
        <w:right w:val="none" w:sz="0" w:space="0" w:color="auto"/>
      </w:divBdr>
    </w:div>
    <w:div w:id="1868717651">
      <w:bodyDiv w:val="1"/>
      <w:marLeft w:val="0"/>
      <w:marRight w:val="0"/>
      <w:marTop w:val="0"/>
      <w:marBottom w:val="0"/>
      <w:divBdr>
        <w:top w:val="none" w:sz="0" w:space="0" w:color="auto"/>
        <w:left w:val="none" w:sz="0" w:space="0" w:color="auto"/>
        <w:bottom w:val="none" w:sz="0" w:space="0" w:color="auto"/>
        <w:right w:val="none" w:sz="0" w:space="0" w:color="auto"/>
      </w:divBdr>
      <w:divsChild>
        <w:div w:id="256909329">
          <w:marLeft w:val="706"/>
          <w:marRight w:val="0"/>
          <w:marTop w:val="280"/>
          <w:marBottom w:val="0"/>
          <w:divBdr>
            <w:top w:val="none" w:sz="0" w:space="0" w:color="auto"/>
            <w:left w:val="none" w:sz="0" w:space="0" w:color="auto"/>
            <w:bottom w:val="none" w:sz="0" w:space="0" w:color="auto"/>
            <w:right w:val="none" w:sz="0" w:space="0" w:color="auto"/>
          </w:divBdr>
        </w:div>
        <w:div w:id="1764182748">
          <w:marLeft w:val="706"/>
          <w:marRight w:val="0"/>
          <w:marTop w:val="280"/>
          <w:marBottom w:val="0"/>
          <w:divBdr>
            <w:top w:val="none" w:sz="0" w:space="0" w:color="auto"/>
            <w:left w:val="none" w:sz="0" w:space="0" w:color="auto"/>
            <w:bottom w:val="none" w:sz="0" w:space="0" w:color="auto"/>
            <w:right w:val="none" w:sz="0" w:space="0" w:color="auto"/>
          </w:divBdr>
        </w:div>
      </w:divsChild>
    </w:div>
    <w:div w:id="1946301056">
      <w:bodyDiv w:val="1"/>
      <w:marLeft w:val="0"/>
      <w:marRight w:val="0"/>
      <w:marTop w:val="0"/>
      <w:marBottom w:val="0"/>
      <w:divBdr>
        <w:top w:val="none" w:sz="0" w:space="0" w:color="auto"/>
        <w:left w:val="none" w:sz="0" w:space="0" w:color="auto"/>
        <w:bottom w:val="none" w:sz="0" w:space="0" w:color="auto"/>
        <w:right w:val="none" w:sz="0" w:space="0" w:color="auto"/>
      </w:divBdr>
    </w:div>
    <w:div w:id="2046710879">
      <w:bodyDiv w:val="1"/>
      <w:marLeft w:val="0"/>
      <w:marRight w:val="0"/>
      <w:marTop w:val="0"/>
      <w:marBottom w:val="0"/>
      <w:divBdr>
        <w:top w:val="none" w:sz="0" w:space="0" w:color="auto"/>
        <w:left w:val="none" w:sz="0" w:space="0" w:color="auto"/>
        <w:bottom w:val="none" w:sz="0" w:space="0" w:color="auto"/>
        <w:right w:val="none" w:sz="0" w:space="0" w:color="auto"/>
      </w:divBdr>
    </w:div>
    <w:div w:id="2069375023">
      <w:bodyDiv w:val="1"/>
      <w:marLeft w:val="0"/>
      <w:marRight w:val="0"/>
      <w:marTop w:val="0"/>
      <w:marBottom w:val="0"/>
      <w:divBdr>
        <w:top w:val="none" w:sz="0" w:space="0" w:color="auto"/>
        <w:left w:val="none" w:sz="0" w:space="0" w:color="auto"/>
        <w:bottom w:val="none" w:sz="0" w:space="0" w:color="auto"/>
        <w:right w:val="none" w:sz="0" w:space="0" w:color="auto"/>
      </w:divBdr>
      <w:divsChild>
        <w:div w:id="790054606">
          <w:marLeft w:val="0"/>
          <w:marRight w:val="0"/>
          <w:marTop w:val="0"/>
          <w:marBottom w:val="0"/>
          <w:divBdr>
            <w:top w:val="none" w:sz="0" w:space="0" w:color="auto"/>
            <w:left w:val="none" w:sz="0" w:space="0" w:color="auto"/>
            <w:bottom w:val="none" w:sz="0" w:space="0" w:color="auto"/>
            <w:right w:val="none" w:sz="0" w:space="0" w:color="auto"/>
          </w:divBdr>
        </w:div>
      </w:divsChild>
    </w:div>
    <w:div w:id="2095474991">
      <w:bodyDiv w:val="1"/>
      <w:marLeft w:val="0"/>
      <w:marRight w:val="0"/>
      <w:marTop w:val="0"/>
      <w:marBottom w:val="0"/>
      <w:divBdr>
        <w:top w:val="none" w:sz="0" w:space="0" w:color="auto"/>
        <w:left w:val="none" w:sz="0" w:space="0" w:color="auto"/>
        <w:bottom w:val="none" w:sz="0" w:space="0" w:color="auto"/>
        <w:right w:val="none" w:sz="0" w:space="0" w:color="auto"/>
      </w:divBdr>
    </w:div>
    <w:div w:id="211959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gii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Vicinity">
      <a:dk1>
        <a:srgbClr val="000000"/>
      </a:dk1>
      <a:lt1>
        <a:sysClr val="window" lastClr="FFFFFF"/>
      </a:lt1>
      <a:dk2>
        <a:srgbClr val="000000"/>
      </a:dk2>
      <a:lt2>
        <a:srgbClr val="B58150"/>
      </a:lt2>
      <a:accent1>
        <a:srgbClr val="B58150"/>
      </a:accent1>
      <a:accent2>
        <a:srgbClr val="9BB8D3"/>
      </a:accent2>
      <a:accent3>
        <a:srgbClr val="A20067"/>
      </a:accent3>
      <a:accent4>
        <a:srgbClr val="BABC16"/>
      </a:accent4>
      <a:accent5>
        <a:srgbClr val="E35205"/>
      </a:accent5>
      <a:accent6>
        <a:srgbClr val="E68699"/>
      </a:accent6>
      <a:hlink>
        <a:srgbClr val="9BB8D3"/>
      </a:hlink>
      <a:folHlink>
        <a:srgbClr val="A20067"/>
      </a:folHlink>
    </a:clrScheme>
    <a:fontScheme name="Vicinit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ustom Color 1">
      <a:srgbClr val="C0BB87"/>
    </a:custClr>
    <a:custClr name="Custom Color 2">
      <a:srgbClr val="6BBBAE"/>
    </a:custClr>
    <a:custClr name="Custom Color 3">
      <a:srgbClr val="829995"/>
    </a:custClr>
    <a:custClr name="Custom Color 4">
      <a:srgbClr val="C3C6A8"/>
    </a:custClr>
    <a:custClr name="Custom Color 5">
      <a:srgbClr val="57554F"/>
    </a:custClr>
    <a:custClr name="Custom Color 6">
      <a:srgbClr val="EED484"/>
    </a:custClr>
    <a:custClr name="Custom Color 7">
      <a:srgbClr val="DAD9D3"/>
    </a:custClr>
    <a:custClr name="Custom Color 8">
      <a:srgbClr val="EDECE5"/>
    </a:custClr>
    <a:custClr name="Custom Color 9">
      <a:srgbClr val="9EA2A2"/>
    </a:custClr>
    <a:custClr name="Custom Color 10">
      <a:srgbClr val="7A6855"/>
    </a:custClr>
    <a:custClr name="Custom Color 11">
      <a:srgbClr val="732E4A"/>
    </a:custClr>
    <a:custClr name="Custom Color 15">
      <a:srgbClr val="4F2C1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4F9DA-2A49-4E5D-AA08-F29F7B2C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5995</Words>
  <Characters>36843</Characters>
  <Application>Microsoft Office Word</Application>
  <DocSecurity>0</DocSecurity>
  <Lines>307</Lines>
  <Paragraphs>85</Paragraphs>
  <ScaleCrop>false</ScaleCrop>
  <HeadingPairs>
    <vt:vector size="2" baseType="variant">
      <vt:variant>
        <vt:lpstr>Title</vt:lpstr>
      </vt:variant>
      <vt:variant>
        <vt:i4>1</vt:i4>
      </vt:variant>
    </vt:vector>
  </HeadingPairs>
  <TitlesOfParts>
    <vt:vector size="1" baseType="lpstr">
      <vt:lpstr>210215_Partners Group website disclosure_TEMPLATE DRAFT PG DRAFT compared with Partners Group website disclosure_UPDATED TEMPLATE_24.02.2021</vt:lpstr>
    </vt:vector>
  </TitlesOfParts>
  <Company>Partners Group</Company>
  <LinksUpToDate>false</LinksUpToDate>
  <CharactersWithSpaces>42753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210215_Partners Group website disclosure_TEMPLATE DRAFT PG DRAFT compared with Partners Group website disclosure_UPDATED TEMPLATE_24.02.2021</dc:title>
  <dc:subject>Press release</dc:subject>
  <dc:creator>Milevka Grceva</dc:creator>
  <cp:keywords>
  </cp:keywords>
  <dc:description>
  </dc:description>
  <cp:lastModifiedBy>Christina Mueller</cp:lastModifiedBy>
  <cp:revision>4</cp:revision>
  <cp:lastPrinted>2021-01-14T10:32:00Z</cp:lastPrinted>
  <dcterms:created xsi:type="dcterms:W3CDTF">2022-11-21T21:51:00Z</dcterms:created>
  <dcterms:modified xsi:type="dcterms:W3CDTF">2022-12-29T21:54:00Z</dcterms:modified>
  <cp:category>Letter - Baar Zug Baar Zug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comparedocs">
    <vt:lpwstr>4.3.301.4 _tc</vt:lpwstr>
  </property>
  <property fmtid="{D5CDD505-2E9C-101B-9397-08002B2CF9AE}" pid="3" name="/bp_dc_orgversion">
    <vt:lpwstr>C\5ucTA:yD1_opslAERF\ve2Pr ioL DT:Uas0aGwdsPD .*spk1r e uMRGd*ect2tsberEAPo*r\o\nrsteTF c!spei_Tx</vt:lpwstr>
  </property>
  <property fmtid="{D5CDD505-2E9C-101B-9397-08002B2CF9AE}" pid="4" name="/bp_dc_filepath">
    <vt:lpwstr>C\\\rDnseFP oT.:yAlTppae\Ctebir_AT apwls E22\vpaerdpDt rretuTR vruecuDM00Uapcmofmou2aswesEDP tobsrEP.2spDopCDocp1P   oM GTnrsieTL41ecaL\socst0_GpdlPE FeGid_AA2.xr\t\Dcc \u25ruicLTDAr t UDT_dcsaosO1osARsePEo</vt:lpwstr>
  </property>
  <property fmtid="{D5CDD505-2E9C-101B-9397-08002B2CF9AE}" pid="5" name="/bp_dc_modversion">
    <vt:lpwstr>C\ei_A.:yDnrsteULT1d\vetsberPPE2oUasr e uDM_0cspkaGwdsAE22xectPr ioTT4.!:r\o\opslE .2**spucD0*</vt:lpwstr>
  </property>
  <property fmtid="{D5CDD505-2E9C-101B-9397-08002B2CF9AE}" pid="6" name="Client Code">
    <vt:lpwstr>10696265</vt:lpwstr>
  </property>
  <property fmtid="{D5CDD505-2E9C-101B-9397-08002B2CF9AE}" pid="7" name="DEDocumentLocation">
    <vt:lpwstr>C:\Users\zchorbad\AppData\Local\Linklaters\DocExplorer\Attachments\A49507472 v1.0 01. PG Impact Investments II product website disclosures - November 2022.docx</vt:lpwstr>
  </property>
  <property fmtid="{D5CDD505-2E9C-101B-9397-08002B2CF9AE}" pid="8" name="Document Number">
    <vt:lpwstr>A49507472</vt:lpwstr>
  </property>
  <property fmtid="{D5CDD505-2E9C-101B-9397-08002B2CF9AE}" pid="9" name="Last Modified">
    <vt:lpwstr>21 Nov 2022</vt:lpwstr>
  </property>
  <property fmtid="{D5CDD505-2E9C-101B-9397-08002B2CF9AE}" pid="10" name="Matter Number">
    <vt:lpwstr>L-309530</vt:lpwstr>
  </property>
  <property fmtid="{D5CDD505-2E9C-101B-9397-08002B2CF9AE}" pid="11" name="Mode">
    <vt:lpwstr>SendAs</vt:lpwstr>
  </property>
  <property fmtid="{D5CDD505-2E9C-101B-9397-08002B2CF9AE}" pid="12" name="Version">
    <vt:lpwstr>1.0</vt:lpwstr>
  </property>
  <property fmtid="{D5CDD505-2E9C-101B-9397-08002B2CF9AE}" pid="13" name="ObjectID">
    <vt:lpwstr>09001dc898061a3a</vt:lpwstr>
  </property>
  <property fmtid="{D5CDD505-2E9C-101B-9397-08002B2CF9AE}" pid="14" name="_MarkAsFinal">
    <vt:bool>false</vt:bool>
  </property>
</Properties>
</file>