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2A543" w14:textId="77777777" w:rsidR="00AD2C96" w:rsidRDefault="00AD2C96" w:rsidP="003B56BF">
      <w:pPr>
        <w:pStyle w:val="Body"/>
        <w:spacing w:after="60"/>
        <w:jc w:val="center"/>
        <w:rPr>
          <w:rFonts w:ascii="Lato" w:eastAsiaTheme="minorEastAsia" w:hAnsi="Lato"/>
          <w:b/>
          <w:bCs/>
          <w:color w:val="002060"/>
          <w:kern w:val="0"/>
          <w:sz w:val="26"/>
          <w:szCs w:val="26"/>
          <w:lang w:eastAsia="zh-CN"/>
        </w:rPr>
      </w:pPr>
      <w:r w:rsidRPr="00AD2C96">
        <w:rPr>
          <w:rFonts w:ascii="Lato" w:eastAsiaTheme="minorEastAsia" w:hAnsi="Lato"/>
          <w:b/>
          <w:bCs/>
          <w:color w:val="002060"/>
          <w:kern w:val="0"/>
          <w:sz w:val="26"/>
          <w:szCs w:val="26"/>
          <w:lang w:eastAsia="zh-CN"/>
        </w:rPr>
        <w:t xml:space="preserve">BlueEarth Climate Growth Fund I, S.C.A., SICAV-RAIF </w:t>
      </w:r>
    </w:p>
    <w:p w14:paraId="0D208F65" w14:textId="287BA055" w:rsidR="00997221" w:rsidRDefault="00997221" w:rsidP="003B56BF">
      <w:pPr>
        <w:pStyle w:val="Body"/>
        <w:spacing w:after="60"/>
        <w:jc w:val="center"/>
        <w:rPr>
          <w:rFonts w:ascii="Lato Light" w:hAnsi="Lato Light"/>
          <w:i/>
          <w:sz w:val="22"/>
          <w:szCs w:val="22"/>
          <w:lang w:val="fr-FR"/>
        </w:rPr>
      </w:pPr>
      <w:r>
        <w:rPr>
          <w:rFonts w:ascii="Lato Light" w:hAnsi="Lato Light"/>
          <w:i/>
          <w:sz w:val="22"/>
          <w:szCs w:val="22"/>
          <w:lang w:val="fr-FR"/>
        </w:rPr>
        <w:t>S</w:t>
      </w:r>
      <w:r w:rsidRPr="00880AB9">
        <w:rPr>
          <w:rFonts w:ascii="Lato Light" w:hAnsi="Lato Light"/>
          <w:i/>
          <w:sz w:val="22"/>
          <w:szCs w:val="22"/>
          <w:lang w:val="fr-FR"/>
        </w:rPr>
        <w:t>ociété en commandite par actions</w:t>
      </w:r>
    </w:p>
    <w:p w14:paraId="0ED64619" w14:textId="1FEE1ECE" w:rsidR="009312B4" w:rsidRPr="006763C2" w:rsidRDefault="006763C2" w:rsidP="003B56BF">
      <w:pPr>
        <w:pStyle w:val="Body"/>
        <w:spacing w:after="60"/>
        <w:jc w:val="center"/>
        <w:rPr>
          <w:rFonts w:ascii="Lato Light" w:hAnsi="Lato Light"/>
          <w:i/>
          <w:sz w:val="22"/>
          <w:szCs w:val="22"/>
          <w:lang w:val="fr-FR"/>
        </w:rPr>
      </w:pPr>
      <w:r w:rsidRPr="006763C2">
        <w:rPr>
          <w:rFonts w:ascii="Lato Light" w:hAnsi="Lato Light"/>
          <w:i/>
          <w:sz w:val="22"/>
          <w:szCs w:val="22"/>
          <w:lang w:val="fr-FR"/>
        </w:rPr>
        <w:t>Société d'investissement à capital variable – fonds d’investissement alternatif réservé</w:t>
      </w:r>
    </w:p>
    <w:p w14:paraId="4D4BF5E9" w14:textId="733C2A83" w:rsidR="009312B4" w:rsidRPr="002E03C6" w:rsidRDefault="009312B4" w:rsidP="003B56BF">
      <w:pPr>
        <w:pStyle w:val="Body"/>
        <w:spacing w:after="60"/>
        <w:jc w:val="center"/>
        <w:rPr>
          <w:rFonts w:ascii="Lato Light" w:hAnsi="Lato Light" w:cs="Arial"/>
          <w:sz w:val="22"/>
          <w:szCs w:val="22"/>
          <w:lang w:val="fr-FR"/>
        </w:rPr>
      </w:pPr>
      <w:r w:rsidRPr="002E03C6">
        <w:rPr>
          <w:rFonts w:ascii="Lato Light" w:hAnsi="Lato Light"/>
          <w:sz w:val="22"/>
          <w:szCs w:val="22"/>
          <w:lang w:val="fr-FR"/>
        </w:rPr>
        <w:t xml:space="preserve">Registered </w:t>
      </w:r>
      <w:proofErr w:type="gramStart"/>
      <w:r w:rsidRPr="002E03C6">
        <w:rPr>
          <w:rFonts w:ascii="Lato Light" w:hAnsi="Lato Light"/>
          <w:sz w:val="22"/>
          <w:szCs w:val="22"/>
          <w:lang w:val="fr-FR"/>
        </w:rPr>
        <w:t>office:</w:t>
      </w:r>
      <w:proofErr w:type="gramEnd"/>
      <w:r w:rsidRPr="002E03C6">
        <w:rPr>
          <w:rFonts w:ascii="Lato Light" w:hAnsi="Lato Light"/>
          <w:sz w:val="22"/>
          <w:szCs w:val="22"/>
          <w:lang w:val="fr-FR"/>
        </w:rPr>
        <w:t> </w:t>
      </w:r>
      <w:r w:rsidR="006763C2" w:rsidRPr="002E03C6" w:rsidDel="006763C2">
        <w:rPr>
          <w:rFonts w:ascii="Lato Light" w:hAnsi="Lato Light" w:cs="Arial"/>
          <w:sz w:val="22"/>
          <w:szCs w:val="22"/>
          <w:lang w:val="fr-FR"/>
        </w:rPr>
        <w:t xml:space="preserve"> </w:t>
      </w:r>
      <w:r w:rsidR="006763C2" w:rsidRPr="002E03C6">
        <w:rPr>
          <w:rFonts w:ascii="Lato Light" w:hAnsi="Lato Light" w:cs="Arial"/>
          <w:sz w:val="22"/>
          <w:szCs w:val="22"/>
          <w:lang w:val="fr-FR"/>
        </w:rPr>
        <w:t xml:space="preserve">15, Boulevard F.W. Raiffeisen, </w:t>
      </w:r>
      <w:r w:rsidR="006763C2" w:rsidRPr="002E03C6">
        <w:rPr>
          <w:rFonts w:ascii="Lato Light" w:hAnsi="Lato Light"/>
          <w:sz w:val="22"/>
          <w:szCs w:val="22"/>
          <w:lang w:val="fr-FR"/>
        </w:rPr>
        <w:t>L-2411 Luxembourg</w:t>
      </w:r>
    </w:p>
    <w:p w14:paraId="7625DAC3" w14:textId="77777777" w:rsidR="009312B4" w:rsidRPr="002E03C6" w:rsidRDefault="009312B4" w:rsidP="003B56BF">
      <w:pPr>
        <w:pStyle w:val="Body"/>
        <w:spacing w:after="60"/>
        <w:jc w:val="center"/>
        <w:rPr>
          <w:rFonts w:ascii="Lato Light" w:hAnsi="Lato Light"/>
          <w:sz w:val="22"/>
          <w:szCs w:val="22"/>
          <w:lang w:val="fr-FR"/>
        </w:rPr>
      </w:pPr>
      <w:r w:rsidRPr="002E03C6">
        <w:rPr>
          <w:rFonts w:ascii="Lato Light" w:hAnsi="Lato Light" w:cs="Arial"/>
          <w:sz w:val="22"/>
          <w:szCs w:val="22"/>
          <w:lang w:val="fr-FR"/>
        </w:rPr>
        <w:t>Grand-</w:t>
      </w:r>
      <w:proofErr w:type="spellStart"/>
      <w:r w:rsidRPr="002E03C6">
        <w:rPr>
          <w:rFonts w:ascii="Lato Light" w:hAnsi="Lato Light" w:cs="Arial"/>
          <w:sz w:val="22"/>
          <w:szCs w:val="22"/>
          <w:lang w:val="fr-FR"/>
        </w:rPr>
        <w:t>Duchy</w:t>
      </w:r>
      <w:proofErr w:type="spellEnd"/>
      <w:r w:rsidRPr="002E03C6">
        <w:rPr>
          <w:rFonts w:ascii="Lato Light" w:hAnsi="Lato Light" w:cs="Arial"/>
          <w:sz w:val="22"/>
          <w:szCs w:val="22"/>
          <w:lang w:val="fr-FR"/>
        </w:rPr>
        <w:t xml:space="preserve"> of Luxembourg</w:t>
      </w:r>
    </w:p>
    <w:p w14:paraId="254652FE" w14:textId="723E7926" w:rsidR="009312B4" w:rsidRPr="006F3874" w:rsidRDefault="009312B4" w:rsidP="003B56BF">
      <w:pPr>
        <w:pStyle w:val="Body"/>
        <w:spacing w:after="60"/>
        <w:jc w:val="center"/>
        <w:rPr>
          <w:rFonts w:ascii="Lato Light" w:hAnsi="Lato Light"/>
          <w:sz w:val="22"/>
          <w:szCs w:val="22"/>
        </w:rPr>
      </w:pPr>
      <w:r w:rsidRPr="006F3874">
        <w:rPr>
          <w:rFonts w:ascii="Lato Light" w:hAnsi="Lato Light"/>
          <w:sz w:val="22"/>
          <w:szCs w:val="22"/>
        </w:rPr>
        <w:t>R.C.S. Luxembourg: </w:t>
      </w:r>
      <w:r w:rsidR="00E817E8" w:rsidRPr="00333351">
        <w:rPr>
          <w:rFonts w:ascii="Lato Light" w:hAnsi="Lato Light"/>
          <w:sz w:val="22"/>
          <w:szCs w:val="22"/>
        </w:rPr>
        <w:t>B258731</w:t>
      </w:r>
    </w:p>
    <w:p w14:paraId="15EAA056" w14:textId="77777777" w:rsidR="009312B4" w:rsidRPr="008049D2" w:rsidRDefault="009312B4" w:rsidP="003B56BF">
      <w:pPr>
        <w:pStyle w:val="Body"/>
        <w:spacing w:after="60"/>
        <w:jc w:val="center"/>
        <w:rPr>
          <w:rFonts w:ascii="Lato Light" w:hAnsi="Lato Light"/>
          <w:sz w:val="22"/>
          <w:szCs w:val="22"/>
        </w:rPr>
      </w:pPr>
      <w:r w:rsidRPr="008049D2">
        <w:rPr>
          <w:rFonts w:ascii="Lato Light" w:hAnsi="Lato Light"/>
          <w:sz w:val="22"/>
          <w:szCs w:val="22"/>
        </w:rPr>
        <w:t>(the “</w:t>
      </w:r>
      <w:r w:rsidRPr="008049D2">
        <w:rPr>
          <w:rFonts w:ascii="Lato Light" w:hAnsi="Lato Light"/>
          <w:b/>
          <w:sz w:val="22"/>
          <w:szCs w:val="22"/>
        </w:rPr>
        <w:t>Fund</w:t>
      </w:r>
      <w:r w:rsidRPr="008049D2">
        <w:rPr>
          <w:rFonts w:ascii="Lato Light" w:hAnsi="Lato Light"/>
          <w:sz w:val="22"/>
          <w:szCs w:val="22"/>
        </w:rPr>
        <w:t>”)</w:t>
      </w:r>
    </w:p>
    <w:p w14:paraId="6515B059" w14:textId="77777777" w:rsidR="009312B4" w:rsidRPr="008049D2" w:rsidRDefault="009312B4" w:rsidP="009312B4">
      <w:pPr>
        <w:ind w:left="1080" w:hanging="720"/>
        <w:rPr>
          <w:sz w:val="22"/>
          <w:szCs w:val="22"/>
          <w:lang w:val="en-GB"/>
        </w:rPr>
      </w:pPr>
    </w:p>
    <w:p w14:paraId="0C1B2D83" w14:textId="37E30702" w:rsidR="009312B4" w:rsidRPr="008049D2" w:rsidRDefault="00BE63D4" w:rsidP="006E5ED9">
      <w:pPr>
        <w:jc w:val="center"/>
        <w:rPr>
          <w:b/>
          <w:bCs/>
          <w:sz w:val="24"/>
          <w:lang w:val="en-GB"/>
        </w:rPr>
      </w:pPr>
      <w:r w:rsidRPr="008049D2">
        <w:rPr>
          <w:b/>
          <w:bCs/>
          <w:sz w:val="24"/>
          <w:lang w:val="en-GB"/>
        </w:rPr>
        <w:t>Sustainability related disclosures</w:t>
      </w:r>
      <w:r w:rsidR="0096779F" w:rsidRPr="008049D2">
        <w:rPr>
          <w:b/>
          <w:bCs/>
          <w:sz w:val="24"/>
          <w:lang w:val="en-GB"/>
        </w:rPr>
        <w:t xml:space="preserve"> required for </w:t>
      </w:r>
      <w:r w:rsidR="00B40039">
        <w:rPr>
          <w:b/>
          <w:bCs/>
          <w:sz w:val="24"/>
          <w:lang w:val="en-GB"/>
        </w:rPr>
        <w:t xml:space="preserve">Article 9 </w:t>
      </w:r>
      <w:r w:rsidR="007F4282">
        <w:rPr>
          <w:b/>
          <w:bCs/>
          <w:sz w:val="24"/>
          <w:lang w:val="en-GB"/>
        </w:rPr>
        <w:t>funds</w:t>
      </w:r>
      <w:r w:rsidR="006E5ED9" w:rsidRPr="006E5ED9">
        <w:rPr>
          <w:b/>
          <w:bCs/>
          <w:sz w:val="24"/>
          <w:lang w:val="en-GB"/>
        </w:rPr>
        <w:t xml:space="preserve"> that have</w:t>
      </w:r>
      <w:r w:rsidR="006E5ED9">
        <w:rPr>
          <w:b/>
          <w:bCs/>
          <w:sz w:val="24"/>
          <w:lang w:val="en-GB"/>
        </w:rPr>
        <w:t xml:space="preserve"> </w:t>
      </w:r>
      <w:r w:rsidR="006E5ED9" w:rsidRPr="006E5ED9">
        <w:rPr>
          <w:b/>
          <w:bCs/>
          <w:sz w:val="24"/>
          <w:lang w:val="en-GB"/>
        </w:rPr>
        <w:t>sustainable investments as their objective</w:t>
      </w:r>
    </w:p>
    <w:p w14:paraId="6ECC596B" w14:textId="77777777" w:rsidR="00BE63D4" w:rsidRPr="008049D2" w:rsidRDefault="00BE63D4" w:rsidP="00BE63D4">
      <w:pPr>
        <w:jc w:val="both"/>
        <w:rPr>
          <w:b/>
          <w:bCs/>
          <w:sz w:val="24"/>
          <w:lang w:val="en-GB"/>
        </w:rPr>
      </w:pPr>
    </w:p>
    <w:p w14:paraId="09ADB2A4" w14:textId="6283B03B" w:rsidR="009312B4" w:rsidRPr="008049D2" w:rsidRDefault="009312B4" w:rsidP="006C4130">
      <w:pPr>
        <w:pStyle w:val="Heading1"/>
        <w:numPr>
          <w:ilvl w:val="0"/>
          <w:numId w:val="26"/>
        </w:numPr>
        <w:ind w:left="709"/>
        <w:rPr>
          <w:sz w:val="22"/>
          <w:szCs w:val="22"/>
          <w:lang w:val="en-GB"/>
        </w:rPr>
      </w:pPr>
      <w:r w:rsidRPr="008049D2">
        <w:rPr>
          <w:sz w:val="22"/>
          <w:szCs w:val="22"/>
          <w:lang w:val="en-GB"/>
        </w:rPr>
        <w:t>Summ</w:t>
      </w:r>
      <w:r w:rsidR="00366B77" w:rsidRPr="008049D2">
        <w:rPr>
          <w:sz w:val="22"/>
          <w:szCs w:val="22"/>
          <w:lang w:val="en-GB"/>
        </w:rPr>
        <w:t>a</w:t>
      </w:r>
      <w:r w:rsidRPr="008049D2">
        <w:rPr>
          <w:sz w:val="22"/>
          <w:szCs w:val="22"/>
          <w:lang w:val="en-GB"/>
        </w:rPr>
        <w:t xml:space="preserve">ry </w:t>
      </w:r>
    </w:p>
    <w:p w14:paraId="03A6005B" w14:textId="1C2F7722" w:rsidR="00A46179" w:rsidRDefault="00CB20D1" w:rsidP="00681F53">
      <w:pPr>
        <w:pStyle w:val="ListParagraph"/>
        <w:spacing w:after="200" w:line="276" w:lineRule="auto"/>
        <w:ind w:left="0"/>
        <w:jc w:val="both"/>
        <w:rPr>
          <w:sz w:val="22"/>
          <w:szCs w:val="22"/>
          <w:lang w:val="en-GB"/>
        </w:rPr>
      </w:pPr>
      <w:r w:rsidRPr="008049D2">
        <w:rPr>
          <w:sz w:val="22"/>
          <w:szCs w:val="22"/>
          <w:lang w:val="en-GB"/>
        </w:rPr>
        <w:t xml:space="preserve">The Regulation (EU) 2019/2088 of the European Parliament and of the Council of 27 November 2019 on sustainability-related disclosures in the financial services sector </w:t>
      </w:r>
      <w:r w:rsidR="000B5D4D">
        <w:rPr>
          <w:sz w:val="22"/>
          <w:szCs w:val="22"/>
          <w:lang w:val="en-GB"/>
        </w:rPr>
        <w:t>(</w:t>
      </w:r>
      <w:bookmarkStart w:id="0" w:name="_Hlk92795119"/>
      <w:r w:rsidR="000B5D4D">
        <w:rPr>
          <w:sz w:val="22"/>
          <w:szCs w:val="22"/>
          <w:lang w:val="en-GB"/>
        </w:rPr>
        <w:t>the “</w:t>
      </w:r>
      <w:r w:rsidR="000B5D4D" w:rsidRPr="000B5D4D">
        <w:rPr>
          <w:b/>
          <w:bCs/>
          <w:sz w:val="22"/>
          <w:szCs w:val="22"/>
          <w:lang w:val="en-GB"/>
        </w:rPr>
        <w:t>SFDR</w:t>
      </w:r>
      <w:r w:rsidR="000B5D4D">
        <w:rPr>
          <w:sz w:val="22"/>
          <w:szCs w:val="22"/>
          <w:lang w:val="en-GB"/>
        </w:rPr>
        <w:t xml:space="preserve">”) </w:t>
      </w:r>
      <w:r w:rsidR="00D53EFD">
        <w:rPr>
          <w:sz w:val="22"/>
          <w:szCs w:val="22"/>
          <w:lang w:val="en-GB"/>
        </w:rPr>
        <w:t xml:space="preserve">and the </w:t>
      </w:r>
      <w:r w:rsidR="00D53EFD" w:rsidRPr="00D53EFD">
        <w:rPr>
          <w:sz w:val="22"/>
          <w:szCs w:val="22"/>
          <w:lang w:val="en-GB"/>
        </w:rPr>
        <w:t>Regulation</w:t>
      </w:r>
      <w:r w:rsidR="00D53EFD">
        <w:rPr>
          <w:sz w:val="22"/>
          <w:szCs w:val="22"/>
          <w:lang w:val="en-GB"/>
        </w:rPr>
        <w:t xml:space="preserve"> (EU)</w:t>
      </w:r>
      <w:r w:rsidR="00D53EFD" w:rsidRPr="00D53EFD">
        <w:rPr>
          <w:sz w:val="22"/>
          <w:szCs w:val="22"/>
          <w:lang w:val="en-GB"/>
        </w:rPr>
        <w:t xml:space="preserve"> 2020/852 on the establishment of a framework to facilitate sustainable investment and amending EU Regulation 2019/2088 </w:t>
      </w:r>
      <w:r w:rsidR="000B5D4D">
        <w:rPr>
          <w:sz w:val="22"/>
          <w:szCs w:val="22"/>
          <w:lang w:val="en-GB"/>
        </w:rPr>
        <w:t>(the “</w:t>
      </w:r>
      <w:r w:rsidR="000B5D4D" w:rsidRPr="000B5D4D">
        <w:rPr>
          <w:b/>
          <w:bCs/>
          <w:sz w:val="22"/>
          <w:szCs w:val="22"/>
          <w:lang w:val="en-GB"/>
        </w:rPr>
        <w:t>Taxonomy Regulation</w:t>
      </w:r>
      <w:r w:rsidR="000B5D4D">
        <w:rPr>
          <w:sz w:val="22"/>
          <w:szCs w:val="22"/>
          <w:lang w:val="en-GB"/>
        </w:rPr>
        <w:t xml:space="preserve">”) </w:t>
      </w:r>
      <w:r w:rsidRPr="008049D2">
        <w:rPr>
          <w:sz w:val="22"/>
          <w:szCs w:val="22"/>
          <w:lang w:val="en-GB"/>
        </w:rPr>
        <w:t>(</w:t>
      </w:r>
      <w:r w:rsidR="000B5D4D">
        <w:rPr>
          <w:sz w:val="22"/>
          <w:szCs w:val="22"/>
          <w:lang w:val="en-GB"/>
        </w:rPr>
        <w:t xml:space="preserve">together </w:t>
      </w:r>
      <w:bookmarkEnd w:id="0"/>
      <w:r w:rsidRPr="008049D2">
        <w:rPr>
          <w:sz w:val="22"/>
          <w:szCs w:val="22"/>
          <w:lang w:val="en-GB"/>
        </w:rPr>
        <w:t>the “</w:t>
      </w:r>
      <w:r w:rsidRPr="00681F53">
        <w:rPr>
          <w:b/>
          <w:bCs/>
          <w:sz w:val="22"/>
          <w:szCs w:val="22"/>
          <w:lang w:val="en-GB"/>
        </w:rPr>
        <w:t>Disclosure Regulation</w:t>
      </w:r>
      <w:r w:rsidR="00D53EFD">
        <w:rPr>
          <w:b/>
          <w:bCs/>
          <w:sz w:val="22"/>
          <w:szCs w:val="22"/>
          <w:lang w:val="en-GB"/>
        </w:rPr>
        <w:t>s</w:t>
      </w:r>
      <w:r w:rsidRPr="008049D2">
        <w:rPr>
          <w:sz w:val="22"/>
          <w:szCs w:val="22"/>
          <w:lang w:val="en-GB"/>
        </w:rPr>
        <w:t xml:space="preserve">”) </w:t>
      </w:r>
      <w:r w:rsidR="00A46179" w:rsidRPr="008049D2">
        <w:rPr>
          <w:sz w:val="22"/>
          <w:szCs w:val="22"/>
          <w:lang w:val="en-GB"/>
        </w:rPr>
        <w:t>aim at providing more transparency to investors on sustainability risk integration, on the consideration of adverse sustainability impacts in the investment processes on the promotion of environmental, social and/or governance (“</w:t>
      </w:r>
      <w:r w:rsidR="00A46179" w:rsidRPr="00681F53">
        <w:rPr>
          <w:b/>
          <w:bCs/>
          <w:sz w:val="22"/>
          <w:szCs w:val="22"/>
          <w:lang w:val="en-GB"/>
        </w:rPr>
        <w:t>ESG</w:t>
      </w:r>
      <w:r w:rsidR="00A46179" w:rsidRPr="008049D2">
        <w:rPr>
          <w:sz w:val="22"/>
          <w:szCs w:val="22"/>
          <w:lang w:val="en-GB"/>
        </w:rPr>
        <w:t>”) factors</w:t>
      </w:r>
      <w:r w:rsidR="007D1100">
        <w:rPr>
          <w:sz w:val="22"/>
          <w:szCs w:val="22"/>
          <w:lang w:val="en-GB"/>
        </w:rPr>
        <w:t>, and on having sustainable investment objective</w:t>
      </w:r>
      <w:r w:rsidR="00A46179" w:rsidRPr="008049D2">
        <w:rPr>
          <w:sz w:val="22"/>
          <w:szCs w:val="22"/>
          <w:lang w:val="en-GB"/>
        </w:rPr>
        <w:t>. In particular, it requires fund managers and advisers to disclose specific ESG-related information to investors on their websites.</w:t>
      </w:r>
      <w:r w:rsidRPr="008049D2">
        <w:rPr>
          <w:sz w:val="22"/>
          <w:szCs w:val="22"/>
          <w:lang w:val="en-GB"/>
        </w:rPr>
        <w:t xml:space="preserve"> </w:t>
      </w:r>
    </w:p>
    <w:p w14:paraId="69525E75" w14:textId="77777777" w:rsidR="00681F53" w:rsidRPr="008049D2" w:rsidRDefault="00681F53" w:rsidP="00681F53">
      <w:pPr>
        <w:pStyle w:val="ListParagraph"/>
        <w:spacing w:after="200" w:line="276" w:lineRule="auto"/>
        <w:ind w:left="0"/>
        <w:jc w:val="both"/>
        <w:rPr>
          <w:sz w:val="22"/>
          <w:szCs w:val="22"/>
          <w:lang w:val="en-GB"/>
        </w:rPr>
      </w:pPr>
    </w:p>
    <w:p w14:paraId="7789912E" w14:textId="58EA4326" w:rsidR="00CB20D1" w:rsidRDefault="00CB20D1" w:rsidP="00681F53">
      <w:pPr>
        <w:pStyle w:val="ListParagraph"/>
        <w:spacing w:after="200" w:line="276" w:lineRule="auto"/>
        <w:ind w:left="0"/>
        <w:jc w:val="both"/>
        <w:rPr>
          <w:sz w:val="22"/>
          <w:szCs w:val="22"/>
          <w:lang w:val="en-GB"/>
        </w:rPr>
      </w:pPr>
      <w:r w:rsidRPr="00E576C1">
        <w:rPr>
          <w:sz w:val="22"/>
          <w:szCs w:val="22"/>
          <w:lang w:val="en-GB"/>
        </w:rPr>
        <w:t>The Disclosure Regulation</w:t>
      </w:r>
      <w:r w:rsidR="00D53EFD" w:rsidRPr="00E576C1">
        <w:rPr>
          <w:sz w:val="22"/>
          <w:szCs w:val="22"/>
          <w:lang w:val="en-GB"/>
        </w:rPr>
        <w:t>s</w:t>
      </w:r>
      <w:r w:rsidRPr="00E576C1">
        <w:rPr>
          <w:sz w:val="22"/>
          <w:szCs w:val="22"/>
          <w:lang w:val="en-GB"/>
        </w:rPr>
        <w:t xml:space="preserve"> will be complemented by the EU implementing measures (so-called regulatory and technical standards or “</w:t>
      </w:r>
      <w:r w:rsidRPr="00E576C1">
        <w:rPr>
          <w:b/>
          <w:bCs/>
          <w:sz w:val="22"/>
          <w:szCs w:val="22"/>
          <w:lang w:val="en-GB"/>
        </w:rPr>
        <w:t>RTS</w:t>
      </w:r>
      <w:r w:rsidRPr="00E576C1">
        <w:rPr>
          <w:sz w:val="22"/>
          <w:szCs w:val="22"/>
          <w:lang w:val="en-GB"/>
        </w:rPr>
        <w:t>”),</w:t>
      </w:r>
      <w:r w:rsidR="00095A34">
        <w:rPr>
          <w:sz w:val="22"/>
          <w:szCs w:val="22"/>
          <w:lang w:val="en-GB"/>
        </w:rPr>
        <w:t xml:space="preserve"> as from 1 January 2023</w:t>
      </w:r>
      <w:r w:rsidRPr="00E576C1">
        <w:rPr>
          <w:sz w:val="22"/>
          <w:szCs w:val="22"/>
          <w:lang w:val="en-GB"/>
        </w:rPr>
        <w:t xml:space="preserve">. All sustainability-related disclosures herein are therefore based on the </w:t>
      </w:r>
      <w:r w:rsidR="00401C37">
        <w:rPr>
          <w:sz w:val="22"/>
          <w:szCs w:val="22"/>
          <w:lang w:val="en-GB"/>
        </w:rPr>
        <w:t>final</w:t>
      </w:r>
      <w:r w:rsidR="00401C37" w:rsidRPr="00E576C1">
        <w:rPr>
          <w:sz w:val="22"/>
          <w:szCs w:val="22"/>
          <w:lang w:val="en-GB"/>
        </w:rPr>
        <w:t xml:space="preserve"> </w:t>
      </w:r>
      <w:r w:rsidRPr="00E576C1">
        <w:rPr>
          <w:sz w:val="22"/>
          <w:szCs w:val="22"/>
          <w:lang w:val="en-GB"/>
        </w:rPr>
        <w:t xml:space="preserve">RTS published by the European Supervisory Authorities on </w:t>
      </w:r>
      <w:r w:rsidR="00401C37">
        <w:rPr>
          <w:sz w:val="22"/>
          <w:szCs w:val="22"/>
          <w:lang w:val="en-GB"/>
        </w:rPr>
        <w:t>6 April</w:t>
      </w:r>
      <w:r w:rsidR="00401C37" w:rsidRPr="00E576C1">
        <w:rPr>
          <w:sz w:val="22"/>
          <w:szCs w:val="22"/>
          <w:lang w:val="en-GB"/>
        </w:rPr>
        <w:t xml:space="preserve"> </w:t>
      </w:r>
      <w:r w:rsidRPr="00E576C1">
        <w:rPr>
          <w:sz w:val="22"/>
          <w:szCs w:val="22"/>
          <w:lang w:val="en-GB"/>
        </w:rPr>
        <w:t>202</w:t>
      </w:r>
      <w:r w:rsidR="00401C37">
        <w:rPr>
          <w:sz w:val="22"/>
          <w:szCs w:val="22"/>
          <w:lang w:val="en-GB"/>
        </w:rPr>
        <w:t>2</w:t>
      </w:r>
      <w:r w:rsidR="00095A34">
        <w:rPr>
          <w:sz w:val="22"/>
          <w:szCs w:val="22"/>
          <w:lang w:val="en-GB"/>
        </w:rPr>
        <w:t xml:space="preserve">. </w:t>
      </w:r>
    </w:p>
    <w:p w14:paraId="422E7F39" w14:textId="77777777" w:rsidR="00681F53" w:rsidRPr="008049D2" w:rsidRDefault="00681F53" w:rsidP="00681F53">
      <w:pPr>
        <w:pStyle w:val="ListParagraph"/>
        <w:spacing w:after="200" w:line="276" w:lineRule="auto"/>
        <w:ind w:left="0"/>
        <w:jc w:val="both"/>
        <w:rPr>
          <w:sz w:val="22"/>
          <w:szCs w:val="22"/>
          <w:lang w:val="en-GB"/>
        </w:rPr>
      </w:pPr>
    </w:p>
    <w:p w14:paraId="3B0858BC" w14:textId="72B70483" w:rsidR="001178F9" w:rsidRDefault="00AD2C96" w:rsidP="006F3874">
      <w:pPr>
        <w:pStyle w:val="ListParagraph"/>
        <w:spacing w:after="200" w:line="276" w:lineRule="auto"/>
        <w:ind w:left="0"/>
        <w:jc w:val="both"/>
        <w:rPr>
          <w:sz w:val="22"/>
          <w:szCs w:val="22"/>
          <w:lang w:val="en-GB"/>
        </w:rPr>
      </w:pPr>
      <w:r w:rsidRPr="00AD2C96">
        <w:rPr>
          <w:sz w:val="22"/>
          <w:szCs w:val="22"/>
          <w:lang w:val="en-GB"/>
        </w:rPr>
        <w:t>BLUEEARTH CLIMATE GROWTH FUND I, S.C.A., SICAV-RAIF</w:t>
      </w:r>
      <w:r w:rsidR="00366B77" w:rsidRPr="008049D2">
        <w:rPr>
          <w:sz w:val="22"/>
          <w:szCs w:val="22"/>
          <w:lang w:val="en-GB"/>
        </w:rPr>
        <w:t xml:space="preserve"> </w:t>
      </w:r>
      <w:r w:rsidR="001D2EE2" w:rsidRPr="008049D2">
        <w:rPr>
          <w:sz w:val="22"/>
          <w:szCs w:val="22"/>
          <w:lang w:val="en-GB"/>
        </w:rPr>
        <w:t>(the “</w:t>
      </w:r>
      <w:r w:rsidR="001D2EE2" w:rsidRPr="008049D2">
        <w:rPr>
          <w:b/>
          <w:bCs/>
          <w:sz w:val="22"/>
          <w:szCs w:val="22"/>
          <w:lang w:val="en-GB"/>
        </w:rPr>
        <w:t>Fund</w:t>
      </w:r>
      <w:r w:rsidR="001D2EE2" w:rsidRPr="008049D2">
        <w:rPr>
          <w:sz w:val="22"/>
          <w:szCs w:val="22"/>
          <w:lang w:val="en-GB"/>
        </w:rPr>
        <w:t xml:space="preserve">”) </w:t>
      </w:r>
      <w:r w:rsidR="00366B77" w:rsidRPr="008049D2">
        <w:rPr>
          <w:sz w:val="22"/>
          <w:szCs w:val="22"/>
          <w:lang w:val="en-GB"/>
        </w:rPr>
        <w:t xml:space="preserve">is being formed to invest in </w:t>
      </w:r>
      <w:r w:rsidR="00366B77" w:rsidRPr="00866466">
        <w:rPr>
          <w:sz w:val="22"/>
          <w:szCs w:val="22"/>
          <w:lang w:val="en-GB"/>
        </w:rPr>
        <w:t>private equity</w:t>
      </w:r>
      <w:r w:rsidR="00866466">
        <w:rPr>
          <w:sz w:val="22"/>
          <w:szCs w:val="22"/>
          <w:lang w:val="en-GB"/>
        </w:rPr>
        <w:t>.</w:t>
      </w:r>
      <w:r w:rsidR="00366B77" w:rsidRPr="008049D2">
        <w:rPr>
          <w:sz w:val="22"/>
          <w:szCs w:val="22"/>
          <w:lang w:val="en-GB"/>
        </w:rPr>
        <w:t xml:space="preserve"> </w:t>
      </w:r>
      <w:r w:rsidR="007D2983" w:rsidRPr="009E23C4">
        <w:rPr>
          <w:sz w:val="22"/>
          <w:szCs w:val="22"/>
          <w:lang w:val="en-GB"/>
        </w:rPr>
        <w:t xml:space="preserve">The Fund is managed by its alternative investment fund manager, </w:t>
      </w:r>
      <w:r w:rsidR="00682A5C" w:rsidRPr="009E23C4">
        <w:rPr>
          <w:sz w:val="22"/>
          <w:szCs w:val="22"/>
          <w:lang w:val="en-GB"/>
        </w:rPr>
        <w:t>Alter Domus Management Company S.A.</w:t>
      </w:r>
      <w:r w:rsidR="007D2983" w:rsidRPr="009E23C4">
        <w:rPr>
          <w:sz w:val="22"/>
          <w:szCs w:val="22"/>
          <w:lang w:val="en-GB"/>
        </w:rPr>
        <w:t>. (the “</w:t>
      </w:r>
      <w:r w:rsidR="007D2983" w:rsidRPr="009E23C4">
        <w:rPr>
          <w:b/>
          <w:bCs/>
          <w:sz w:val="22"/>
          <w:szCs w:val="22"/>
          <w:lang w:val="en-GB"/>
        </w:rPr>
        <w:t>Manager</w:t>
      </w:r>
      <w:r w:rsidR="007D2983" w:rsidRPr="009E23C4">
        <w:rPr>
          <w:sz w:val="22"/>
          <w:szCs w:val="22"/>
          <w:lang w:val="en-GB"/>
        </w:rPr>
        <w:t xml:space="preserve">”). </w:t>
      </w:r>
      <w:bookmarkStart w:id="1" w:name="_Hlk65770940"/>
      <w:r w:rsidR="009A53D6" w:rsidRPr="009E23C4">
        <w:rPr>
          <w:rFonts w:eastAsia="Calibri" w:cstheme="minorHAnsi"/>
          <w:bCs/>
          <w:sz w:val="22"/>
          <w:szCs w:val="22"/>
        </w:rPr>
        <w:t>Blue Earth Capital AG</w:t>
      </w:r>
      <w:r w:rsidR="009A53D6" w:rsidRPr="009E23C4" w:rsidDel="009A53D6">
        <w:rPr>
          <w:sz w:val="22"/>
          <w:szCs w:val="22"/>
          <w:lang w:val="en-GB"/>
        </w:rPr>
        <w:t xml:space="preserve"> </w:t>
      </w:r>
      <w:r w:rsidR="00681F53" w:rsidRPr="009E23C4">
        <w:rPr>
          <w:sz w:val="22"/>
          <w:szCs w:val="22"/>
          <w:lang w:val="en-GB"/>
        </w:rPr>
        <w:t xml:space="preserve">acts in the capacity as </w:t>
      </w:r>
      <w:r w:rsidR="00C652A7">
        <w:rPr>
          <w:sz w:val="22"/>
          <w:szCs w:val="22"/>
          <w:lang w:val="en-GB"/>
        </w:rPr>
        <w:t>a</w:t>
      </w:r>
      <w:r w:rsidR="00681F53" w:rsidRPr="009E23C4">
        <w:rPr>
          <w:sz w:val="22"/>
          <w:szCs w:val="22"/>
          <w:lang w:val="en-GB"/>
        </w:rPr>
        <w:t>dviser to the Manager</w:t>
      </w:r>
      <w:r w:rsidR="00C652A7">
        <w:rPr>
          <w:sz w:val="22"/>
          <w:szCs w:val="22"/>
          <w:lang w:val="en-GB"/>
        </w:rPr>
        <w:t xml:space="preserve"> (the “</w:t>
      </w:r>
      <w:r w:rsidR="00C652A7" w:rsidRPr="00C652A7">
        <w:rPr>
          <w:b/>
          <w:bCs/>
          <w:sz w:val="22"/>
          <w:szCs w:val="22"/>
          <w:lang w:val="en-GB"/>
        </w:rPr>
        <w:t>Adviser</w:t>
      </w:r>
      <w:r w:rsidR="00C652A7">
        <w:rPr>
          <w:sz w:val="22"/>
          <w:szCs w:val="22"/>
          <w:lang w:val="en-GB"/>
        </w:rPr>
        <w:t>”)</w:t>
      </w:r>
      <w:r w:rsidR="00681F53" w:rsidRPr="009E23C4">
        <w:rPr>
          <w:sz w:val="22"/>
          <w:szCs w:val="22"/>
          <w:lang w:val="en-GB"/>
        </w:rPr>
        <w:t>.</w:t>
      </w:r>
      <w:r w:rsidR="00681F53" w:rsidRPr="00BE7D83">
        <w:rPr>
          <w:sz w:val="22"/>
          <w:szCs w:val="22"/>
          <w:lang w:val="en-GB"/>
        </w:rPr>
        <w:t xml:space="preserve"> The </w:t>
      </w:r>
      <w:r w:rsidR="00681F53">
        <w:rPr>
          <w:sz w:val="22"/>
          <w:szCs w:val="22"/>
          <w:lang w:val="en-GB"/>
        </w:rPr>
        <w:t xml:space="preserve">below </w:t>
      </w:r>
      <w:r w:rsidR="00681F53" w:rsidRPr="00BE7D83">
        <w:rPr>
          <w:sz w:val="22"/>
          <w:szCs w:val="22"/>
          <w:lang w:val="en-GB"/>
        </w:rPr>
        <w:t>information from the Manager is based on the consultation, information and recommendations received from the Adviser.</w:t>
      </w:r>
      <w:r w:rsidR="00681F53">
        <w:rPr>
          <w:sz w:val="22"/>
          <w:szCs w:val="22"/>
          <w:lang w:val="en-GB"/>
        </w:rPr>
        <w:t xml:space="preserve"> </w:t>
      </w:r>
      <w:bookmarkEnd w:id="1"/>
      <w:r w:rsidR="00EB6A8E">
        <w:rPr>
          <w:sz w:val="22"/>
          <w:szCs w:val="22"/>
          <w:lang w:val="en-GB"/>
        </w:rPr>
        <w:t>To achieve the sustainable investment objective of the Fund, t</w:t>
      </w:r>
      <w:r w:rsidR="00366B77" w:rsidRPr="008049D2">
        <w:rPr>
          <w:sz w:val="22"/>
          <w:szCs w:val="22"/>
          <w:lang w:val="en-GB"/>
        </w:rPr>
        <w:t>he Manager</w:t>
      </w:r>
      <w:r w:rsidR="00BE7D83">
        <w:rPr>
          <w:sz w:val="22"/>
          <w:szCs w:val="22"/>
          <w:lang w:val="en-GB"/>
        </w:rPr>
        <w:t xml:space="preserve"> </w:t>
      </w:r>
      <w:r w:rsidR="001178F9" w:rsidRPr="001178F9">
        <w:rPr>
          <w:sz w:val="22"/>
          <w:szCs w:val="22"/>
          <w:lang w:val="en-GB"/>
        </w:rPr>
        <w:t xml:space="preserve">is committed to investing in a responsible way by actively integrating </w:t>
      </w:r>
      <w:r w:rsidR="00BD038B">
        <w:rPr>
          <w:sz w:val="22"/>
          <w:szCs w:val="22"/>
          <w:lang w:val="en-GB"/>
        </w:rPr>
        <w:t xml:space="preserve">ESG </w:t>
      </w:r>
      <w:r w:rsidR="001178F9" w:rsidRPr="001178F9">
        <w:rPr>
          <w:sz w:val="22"/>
          <w:szCs w:val="22"/>
          <w:lang w:val="en-GB"/>
        </w:rPr>
        <w:t>considerations in its investment selection and ongoing monitoring process</w:t>
      </w:r>
      <w:r w:rsidR="00CD2D54">
        <w:rPr>
          <w:sz w:val="22"/>
          <w:szCs w:val="22"/>
          <w:lang w:val="en-GB"/>
        </w:rPr>
        <w:t>.</w:t>
      </w:r>
    </w:p>
    <w:p w14:paraId="2CC8B7DF" w14:textId="77777777" w:rsidR="00BE7D83" w:rsidRDefault="00BE7D83" w:rsidP="006F3874">
      <w:pPr>
        <w:pStyle w:val="ListParagraph"/>
        <w:spacing w:after="200" w:line="276" w:lineRule="auto"/>
        <w:ind w:left="0"/>
        <w:jc w:val="both"/>
        <w:rPr>
          <w:sz w:val="22"/>
          <w:szCs w:val="22"/>
          <w:lang w:val="en-GB"/>
        </w:rPr>
      </w:pPr>
    </w:p>
    <w:p w14:paraId="553EF339" w14:textId="70A7889A" w:rsidR="001178F9" w:rsidRDefault="006A147A" w:rsidP="006F3874">
      <w:pPr>
        <w:pStyle w:val="ListParagraph"/>
        <w:spacing w:after="200" w:line="276" w:lineRule="auto"/>
        <w:ind w:left="0"/>
        <w:jc w:val="both"/>
        <w:rPr>
          <w:sz w:val="22"/>
          <w:szCs w:val="22"/>
          <w:lang w:val="en-GB"/>
        </w:rPr>
      </w:pPr>
      <w:r w:rsidRPr="006A147A">
        <w:rPr>
          <w:sz w:val="22"/>
          <w:szCs w:val="22"/>
          <w:lang w:val="en-GB"/>
        </w:rPr>
        <w:t xml:space="preserve">The sustainable investment objective of the Fund is to contribute to activities that try to accelerate the net zero transition, improve society’s resilience to climate change and promote </w:t>
      </w:r>
      <w:r w:rsidR="00461EA9">
        <w:rPr>
          <w:sz w:val="22"/>
          <w:szCs w:val="22"/>
          <w:lang w:val="en-GB"/>
        </w:rPr>
        <w:t>resource efficiency</w:t>
      </w:r>
      <w:r>
        <w:rPr>
          <w:sz w:val="22"/>
          <w:szCs w:val="22"/>
          <w:lang w:val="en-GB"/>
        </w:rPr>
        <w:t xml:space="preserve">. </w:t>
      </w:r>
      <w:r w:rsidR="001178F9" w:rsidRPr="001178F9">
        <w:rPr>
          <w:sz w:val="22"/>
          <w:szCs w:val="22"/>
          <w:lang w:val="en-GB"/>
        </w:rPr>
        <w:t xml:space="preserve">The Fund will consider principal adverse sustainability </w:t>
      </w:r>
      <w:r w:rsidR="001178F9" w:rsidRPr="006F3874">
        <w:rPr>
          <w:sz w:val="22"/>
          <w:szCs w:val="22"/>
          <w:lang w:val="en-GB"/>
        </w:rPr>
        <w:t xml:space="preserve">impacts </w:t>
      </w:r>
      <w:r w:rsidR="00964609">
        <w:rPr>
          <w:sz w:val="22"/>
          <w:szCs w:val="22"/>
          <w:lang w:val="en-GB"/>
        </w:rPr>
        <w:t>(</w:t>
      </w:r>
      <w:r w:rsidR="005A2D87">
        <w:rPr>
          <w:sz w:val="22"/>
          <w:szCs w:val="22"/>
          <w:lang w:val="en-GB"/>
        </w:rPr>
        <w:t>the “</w:t>
      </w:r>
      <w:r w:rsidR="005A2D87" w:rsidRPr="005A2D87">
        <w:rPr>
          <w:b/>
          <w:bCs/>
          <w:sz w:val="22"/>
          <w:szCs w:val="22"/>
          <w:lang w:val="en-GB"/>
        </w:rPr>
        <w:t>PASI</w:t>
      </w:r>
      <w:r w:rsidR="005A2D87">
        <w:rPr>
          <w:b/>
          <w:bCs/>
          <w:sz w:val="22"/>
          <w:szCs w:val="22"/>
          <w:lang w:val="en-GB"/>
        </w:rPr>
        <w:t>s</w:t>
      </w:r>
      <w:r w:rsidR="005A2D87">
        <w:rPr>
          <w:sz w:val="22"/>
          <w:szCs w:val="22"/>
          <w:lang w:val="en-GB"/>
        </w:rPr>
        <w:t xml:space="preserve">”) </w:t>
      </w:r>
      <w:r w:rsidR="001178F9" w:rsidRPr="006F3874">
        <w:rPr>
          <w:sz w:val="22"/>
          <w:szCs w:val="22"/>
          <w:lang w:val="en-GB"/>
        </w:rPr>
        <w:t xml:space="preserve">as defined in </w:t>
      </w:r>
      <w:r w:rsidR="001A172F">
        <w:rPr>
          <w:sz w:val="22"/>
          <w:szCs w:val="22"/>
          <w:lang w:val="en-GB"/>
        </w:rPr>
        <w:t>SFDR</w:t>
      </w:r>
      <w:r w:rsidR="00EB6A8E">
        <w:rPr>
          <w:sz w:val="22"/>
          <w:szCs w:val="22"/>
          <w:lang w:val="en-GB"/>
        </w:rPr>
        <w:t xml:space="preserve"> and </w:t>
      </w:r>
      <w:r w:rsidR="00532CA0">
        <w:rPr>
          <w:sz w:val="22"/>
          <w:szCs w:val="22"/>
          <w:lang w:val="en-GB"/>
        </w:rPr>
        <w:t>documented</w:t>
      </w:r>
      <w:r w:rsidR="00EB6A8E">
        <w:rPr>
          <w:sz w:val="22"/>
          <w:szCs w:val="22"/>
          <w:lang w:val="en-GB"/>
        </w:rPr>
        <w:t xml:space="preserve"> in the </w:t>
      </w:r>
      <w:r w:rsidR="00532CA0">
        <w:rPr>
          <w:sz w:val="22"/>
          <w:szCs w:val="22"/>
          <w:lang w:val="en-GB"/>
        </w:rPr>
        <w:t>a</w:t>
      </w:r>
      <w:r w:rsidR="00EB6A8E">
        <w:rPr>
          <w:sz w:val="22"/>
          <w:szCs w:val="22"/>
          <w:lang w:val="en-GB"/>
        </w:rPr>
        <w:t xml:space="preserve">nnex I </w:t>
      </w:r>
      <w:r w:rsidR="00532CA0">
        <w:rPr>
          <w:sz w:val="22"/>
          <w:szCs w:val="22"/>
          <w:lang w:val="en-GB"/>
        </w:rPr>
        <w:t>of the RTS</w:t>
      </w:r>
      <w:r w:rsidR="00662AFB">
        <w:rPr>
          <w:sz w:val="22"/>
          <w:szCs w:val="22"/>
          <w:lang w:val="en-GB"/>
        </w:rPr>
        <w:t>.</w:t>
      </w:r>
      <w:r w:rsidR="00AA01C6">
        <w:rPr>
          <w:sz w:val="22"/>
          <w:szCs w:val="22"/>
          <w:lang w:val="en-GB"/>
        </w:rPr>
        <w:t xml:space="preserve"> </w:t>
      </w:r>
      <w:r w:rsidR="00662AFB">
        <w:rPr>
          <w:sz w:val="22"/>
          <w:szCs w:val="22"/>
          <w:lang w:val="en-GB"/>
        </w:rPr>
        <w:t>The Manager undertake</w:t>
      </w:r>
      <w:r w:rsidR="00F53556">
        <w:rPr>
          <w:sz w:val="22"/>
          <w:szCs w:val="22"/>
          <w:lang w:val="en-GB"/>
        </w:rPr>
        <w:t>s</w:t>
      </w:r>
      <w:r w:rsidR="00662AFB">
        <w:rPr>
          <w:sz w:val="22"/>
          <w:szCs w:val="22"/>
          <w:lang w:val="en-GB"/>
        </w:rPr>
        <w:t xml:space="preserve"> an initial assessme</w:t>
      </w:r>
      <w:r w:rsidR="00532CA0">
        <w:rPr>
          <w:sz w:val="22"/>
          <w:szCs w:val="22"/>
          <w:lang w:val="en-GB"/>
        </w:rPr>
        <w:t>n</w:t>
      </w:r>
      <w:r w:rsidR="00662AFB">
        <w:rPr>
          <w:sz w:val="22"/>
          <w:szCs w:val="22"/>
          <w:lang w:val="en-GB"/>
        </w:rPr>
        <w:t xml:space="preserve">t </w:t>
      </w:r>
      <w:r w:rsidR="00662AFB">
        <w:rPr>
          <w:sz w:val="22"/>
          <w:szCs w:val="22"/>
          <w:lang w:val="en-GB"/>
        </w:rPr>
        <w:lastRenderedPageBreak/>
        <w:t>of the PASIs indicators as part o</w:t>
      </w:r>
      <w:r w:rsidR="00956D8F">
        <w:rPr>
          <w:sz w:val="22"/>
          <w:szCs w:val="22"/>
          <w:lang w:val="en-GB"/>
        </w:rPr>
        <w:t xml:space="preserve">f the ESG due diligence completed for each </w:t>
      </w:r>
      <w:proofErr w:type="spellStart"/>
      <w:proofErr w:type="gramStart"/>
      <w:r w:rsidR="00956D8F">
        <w:rPr>
          <w:sz w:val="22"/>
          <w:szCs w:val="22"/>
          <w:lang w:val="en-GB"/>
        </w:rPr>
        <w:t>investment.</w:t>
      </w:r>
      <w:bookmarkStart w:id="2" w:name="_Hlk65770764"/>
      <w:r w:rsidR="00956D8F">
        <w:rPr>
          <w:sz w:val="22"/>
          <w:szCs w:val="22"/>
          <w:lang w:val="en-GB"/>
        </w:rPr>
        <w:t>Besides</w:t>
      </w:r>
      <w:proofErr w:type="spellEnd"/>
      <w:proofErr w:type="gramEnd"/>
      <w:r w:rsidR="00956D8F">
        <w:rPr>
          <w:sz w:val="22"/>
          <w:szCs w:val="22"/>
          <w:lang w:val="en-GB"/>
        </w:rPr>
        <w:t>,</w:t>
      </w:r>
      <w:r w:rsidR="00956D8F" w:rsidRPr="006F3874">
        <w:rPr>
          <w:sz w:val="22"/>
          <w:szCs w:val="22"/>
          <w:lang w:val="en-GB"/>
        </w:rPr>
        <w:t xml:space="preserve"> </w:t>
      </w:r>
      <w:r w:rsidR="008805A6">
        <w:rPr>
          <w:sz w:val="22"/>
          <w:szCs w:val="22"/>
          <w:lang w:val="en-GB"/>
        </w:rPr>
        <w:t xml:space="preserve">the Fund </w:t>
      </w:r>
      <w:r w:rsidR="00FD70CB" w:rsidRPr="00FD70CB">
        <w:rPr>
          <w:sz w:val="22"/>
          <w:szCs w:val="22"/>
          <w:lang w:val="en-GB"/>
        </w:rPr>
        <w:t>follows a comprehensive impact assessment including an analysis of risk factors based on the IMP</w:t>
      </w:r>
      <w:r w:rsidR="00226A1F">
        <w:rPr>
          <w:rStyle w:val="FootnoteReference"/>
          <w:sz w:val="22"/>
          <w:szCs w:val="22"/>
          <w:lang w:val="en-GB"/>
        </w:rPr>
        <w:footnoteReference w:id="2"/>
      </w:r>
      <w:r w:rsidR="00FD70CB" w:rsidRPr="00FD70CB">
        <w:rPr>
          <w:sz w:val="22"/>
          <w:szCs w:val="22"/>
          <w:lang w:val="en-GB"/>
        </w:rPr>
        <w:t xml:space="preserve"> methodology</w:t>
      </w:r>
      <w:bookmarkEnd w:id="2"/>
      <w:r w:rsidR="001178F9" w:rsidRPr="006F3874">
        <w:rPr>
          <w:sz w:val="22"/>
          <w:szCs w:val="22"/>
          <w:lang w:val="en-GB"/>
        </w:rPr>
        <w:t>.</w:t>
      </w:r>
      <w:r w:rsidR="00226A1F">
        <w:rPr>
          <w:sz w:val="22"/>
          <w:szCs w:val="22"/>
          <w:lang w:val="en-GB"/>
        </w:rPr>
        <w:t xml:space="preserve"> </w:t>
      </w:r>
    </w:p>
    <w:p w14:paraId="56E1F193" w14:textId="77777777" w:rsidR="006F3874" w:rsidRPr="006F3874" w:rsidRDefault="006F3874" w:rsidP="006F3874">
      <w:pPr>
        <w:pStyle w:val="ListParagraph"/>
        <w:spacing w:after="200" w:line="276" w:lineRule="auto"/>
        <w:ind w:left="0"/>
        <w:jc w:val="both"/>
        <w:rPr>
          <w:sz w:val="22"/>
          <w:szCs w:val="22"/>
          <w:lang w:val="en-GB"/>
        </w:rPr>
      </w:pPr>
    </w:p>
    <w:p w14:paraId="12130482" w14:textId="2A0EAE48" w:rsidR="001A77D8" w:rsidRDefault="001A77D8" w:rsidP="006F3874">
      <w:pPr>
        <w:pStyle w:val="ListParagraph"/>
        <w:spacing w:after="200" w:line="276" w:lineRule="auto"/>
        <w:ind w:left="0"/>
        <w:jc w:val="both"/>
        <w:rPr>
          <w:sz w:val="22"/>
          <w:szCs w:val="22"/>
          <w:lang w:val="en-GB"/>
        </w:rPr>
      </w:pPr>
      <w:r w:rsidRPr="006F3874">
        <w:rPr>
          <w:sz w:val="22"/>
          <w:szCs w:val="22"/>
          <w:lang w:val="en-GB"/>
        </w:rPr>
        <w:t xml:space="preserve">The Fund has a private market strategy aiming at both generating positive financial return and at achieving </w:t>
      </w:r>
      <w:bookmarkStart w:id="4" w:name="_Hlk65516152"/>
      <w:r w:rsidRPr="006F3874">
        <w:rPr>
          <w:sz w:val="22"/>
          <w:szCs w:val="22"/>
          <w:lang w:val="en-GB"/>
        </w:rPr>
        <w:t xml:space="preserve">positive </w:t>
      </w:r>
      <w:r w:rsidR="00C86708">
        <w:rPr>
          <w:sz w:val="22"/>
          <w:szCs w:val="22"/>
          <w:lang w:val="en-GB"/>
        </w:rPr>
        <w:t xml:space="preserve">climate </w:t>
      </w:r>
      <w:r w:rsidR="00DB4BC9">
        <w:rPr>
          <w:sz w:val="22"/>
          <w:szCs w:val="22"/>
          <w:lang w:val="en-GB"/>
        </w:rPr>
        <w:t>impact</w:t>
      </w:r>
      <w:r w:rsidRPr="006F3874">
        <w:rPr>
          <w:sz w:val="22"/>
          <w:szCs w:val="22"/>
          <w:lang w:val="en-GB"/>
        </w:rPr>
        <w:t>.</w:t>
      </w:r>
      <w:bookmarkEnd w:id="4"/>
      <w:r w:rsidRPr="006F3874">
        <w:rPr>
          <w:sz w:val="22"/>
          <w:szCs w:val="22"/>
          <w:lang w:val="en-GB"/>
        </w:rPr>
        <w:t xml:space="preserve"> </w:t>
      </w:r>
      <w:r w:rsidR="004708AA">
        <w:rPr>
          <w:rFonts w:cstheme="minorHAnsi"/>
          <w:sz w:val="22"/>
          <w:szCs w:val="22"/>
          <w:lang w:val="en-GB"/>
        </w:rPr>
        <w:t xml:space="preserve">The objective of the Fund is to invest in environmental assets, qualified as sustainable investment under SFDR. </w:t>
      </w:r>
      <w:r w:rsidRPr="006F3874">
        <w:rPr>
          <w:sz w:val="22"/>
          <w:szCs w:val="22"/>
          <w:lang w:val="en-GB"/>
        </w:rPr>
        <w:t>To achieve these objectives, the Fund integrates impact considerations throughout the investment lifecycle, including a best-in-class impact assessment and reporting methodology.</w:t>
      </w:r>
    </w:p>
    <w:p w14:paraId="03812594" w14:textId="77777777" w:rsidR="006F3874" w:rsidRPr="006F3874" w:rsidRDefault="006F3874" w:rsidP="006F3874">
      <w:pPr>
        <w:pStyle w:val="ListParagraph"/>
        <w:spacing w:after="200" w:line="276" w:lineRule="auto"/>
        <w:ind w:left="0"/>
        <w:jc w:val="both"/>
        <w:rPr>
          <w:sz w:val="22"/>
          <w:szCs w:val="22"/>
          <w:lang w:val="en-GB"/>
        </w:rPr>
      </w:pPr>
    </w:p>
    <w:p w14:paraId="1FC9A622" w14:textId="55FB6E5B" w:rsidR="001A77D8" w:rsidRDefault="001A77D8" w:rsidP="006F3874">
      <w:pPr>
        <w:pStyle w:val="ListParagraph"/>
        <w:spacing w:after="200" w:line="276" w:lineRule="auto"/>
        <w:ind w:left="0"/>
        <w:jc w:val="both"/>
        <w:rPr>
          <w:sz w:val="22"/>
          <w:szCs w:val="22"/>
          <w:lang w:val="en-GB"/>
        </w:rPr>
      </w:pPr>
      <w:r w:rsidRPr="006F3874">
        <w:rPr>
          <w:sz w:val="22"/>
          <w:szCs w:val="22"/>
          <w:lang w:val="en-GB"/>
        </w:rPr>
        <w:t xml:space="preserve">The Manager invests in the growth of attractive </w:t>
      </w:r>
      <w:r w:rsidR="00AD2C96">
        <w:rPr>
          <w:sz w:val="22"/>
          <w:szCs w:val="22"/>
          <w:lang w:val="en-GB"/>
        </w:rPr>
        <w:t>companies</w:t>
      </w:r>
      <w:r w:rsidRPr="006F3874">
        <w:rPr>
          <w:sz w:val="22"/>
          <w:szCs w:val="22"/>
          <w:lang w:val="en-GB"/>
        </w:rPr>
        <w:t xml:space="preserve"> with a proven business model, high development potential and a measurable and scalable </w:t>
      </w:r>
      <w:r w:rsidR="00AD2C96">
        <w:rPr>
          <w:sz w:val="22"/>
          <w:szCs w:val="22"/>
          <w:lang w:val="en-GB"/>
        </w:rPr>
        <w:t>climate</w:t>
      </w:r>
      <w:r w:rsidRPr="006F3874">
        <w:rPr>
          <w:sz w:val="22"/>
          <w:szCs w:val="22"/>
          <w:lang w:val="en-GB"/>
        </w:rPr>
        <w:t xml:space="preserve"> impact. </w:t>
      </w:r>
      <w:r w:rsidR="00EC37C1" w:rsidRPr="00081FAF">
        <w:rPr>
          <w:rFonts w:eastAsia="PMingLiU" w:cstheme="minorHAnsi"/>
          <w:sz w:val="22"/>
          <w:szCs w:val="22"/>
        </w:rPr>
        <w:t xml:space="preserve">The Fund will </w:t>
      </w:r>
      <w:r w:rsidR="00EC37C1">
        <w:rPr>
          <w:rFonts w:eastAsia="PMingLiU" w:cstheme="minorHAnsi"/>
          <w:sz w:val="22"/>
          <w:szCs w:val="22"/>
        </w:rPr>
        <w:t xml:space="preserve">invest in the following key themes to deliver meaningful climate impact: energy transition ecosystem; </w:t>
      </w:r>
      <w:r w:rsidR="00080877">
        <w:rPr>
          <w:rFonts w:eastAsia="PMingLiU" w:cstheme="minorHAnsi"/>
          <w:sz w:val="22"/>
          <w:szCs w:val="22"/>
        </w:rPr>
        <w:t>building</w:t>
      </w:r>
      <w:r w:rsidR="008A09A3">
        <w:rPr>
          <w:rFonts w:eastAsia="PMingLiU" w:cstheme="minorHAnsi"/>
          <w:sz w:val="22"/>
          <w:szCs w:val="22"/>
        </w:rPr>
        <w:t>s</w:t>
      </w:r>
      <w:r w:rsidR="00080877">
        <w:rPr>
          <w:rFonts w:eastAsia="PMingLiU" w:cstheme="minorHAnsi"/>
          <w:sz w:val="22"/>
          <w:szCs w:val="22"/>
        </w:rPr>
        <w:t xml:space="preserve"> </w:t>
      </w:r>
      <w:r w:rsidR="008A09A3">
        <w:rPr>
          <w:rFonts w:eastAsia="PMingLiU" w:cstheme="minorHAnsi"/>
          <w:sz w:val="22"/>
          <w:szCs w:val="22"/>
        </w:rPr>
        <w:t>&amp;</w:t>
      </w:r>
      <w:r w:rsidR="00080877">
        <w:rPr>
          <w:rFonts w:eastAsia="PMingLiU" w:cstheme="minorHAnsi"/>
          <w:sz w:val="22"/>
          <w:szCs w:val="22"/>
        </w:rPr>
        <w:t xml:space="preserve"> mobility</w:t>
      </w:r>
      <w:r w:rsidR="00EC37C1">
        <w:rPr>
          <w:rFonts w:eastAsia="PMingLiU" w:cstheme="minorHAnsi"/>
          <w:sz w:val="22"/>
          <w:szCs w:val="22"/>
        </w:rPr>
        <w:t xml:space="preserve">; climate intelligence; </w:t>
      </w:r>
      <w:r w:rsidR="00080877">
        <w:rPr>
          <w:rFonts w:eastAsia="PMingLiU" w:cstheme="minorHAnsi"/>
          <w:sz w:val="22"/>
          <w:szCs w:val="22"/>
        </w:rPr>
        <w:t xml:space="preserve">production </w:t>
      </w:r>
      <w:r w:rsidR="008A09A3">
        <w:rPr>
          <w:rFonts w:eastAsia="PMingLiU" w:cstheme="minorHAnsi"/>
          <w:sz w:val="22"/>
          <w:szCs w:val="22"/>
        </w:rPr>
        <w:t>&amp;</w:t>
      </w:r>
      <w:r w:rsidR="00080877">
        <w:rPr>
          <w:rFonts w:eastAsia="PMingLiU" w:cstheme="minorHAnsi"/>
          <w:sz w:val="22"/>
          <w:szCs w:val="22"/>
        </w:rPr>
        <w:t xml:space="preserve"> consumption</w:t>
      </w:r>
      <w:r w:rsidR="00EC37C1">
        <w:rPr>
          <w:rFonts w:eastAsia="PMingLiU" w:cstheme="minorHAnsi"/>
          <w:sz w:val="22"/>
          <w:szCs w:val="22"/>
        </w:rPr>
        <w:t xml:space="preserve">; and </w:t>
      </w:r>
      <w:r w:rsidR="00080877">
        <w:rPr>
          <w:rFonts w:eastAsia="PMingLiU" w:cstheme="minorHAnsi"/>
          <w:sz w:val="22"/>
          <w:szCs w:val="22"/>
        </w:rPr>
        <w:t xml:space="preserve">food </w:t>
      </w:r>
      <w:r w:rsidR="008A09A3">
        <w:rPr>
          <w:rFonts w:eastAsia="PMingLiU" w:cstheme="minorHAnsi"/>
          <w:sz w:val="22"/>
          <w:szCs w:val="22"/>
        </w:rPr>
        <w:t>&amp;</w:t>
      </w:r>
      <w:r w:rsidR="00EC37C1">
        <w:rPr>
          <w:rFonts w:eastAsia="PMingLiU" w:cstheme="minorHAnsi"/>
          <w:sz w:val="22"/>
          <w:szCs w:val="22"/>
        </w:rPr>
        <w:t xml:space="preserve"> agriculture</w:t>
      </w:r>
      <w:r w:rsidR="00EC37C1" w:rsidRPr="00081FAF">
        <w:rPr>
          <w:rFonts w:eastAsia="PMingLiU" w:cstheme="minorHAnsi"/>
          <w:sz w:val="22"/>
          <w:szCs w:val="22"/>
        </w:rPr>
        <w:t>.</w:t>
      </w:r>
      <w:r w:rsidR="00EC37C1">
        <w:rPr>
          <w:rFonts w:eastAsia="PMingLiU" w:cstheme="minorHAnsi"/>
          <w:sz w:val="22"/>
          <w:szCs w:val="22"/>
        </w:rPr>
        <w:t xml:space="preserve"> </w:t>
      </w:r>
      <w:r w:rsidRPr="00EC37C1">
        <w:rPr>
          <w:sz w:val="22"/>
          <w:szCs w:val="22"/>
          <w:lang w:val="en-GB"/>
        </w:rPr>
        <w:t>Investment strategies are defined for each priority sector on the basis of the long-term viability of business models, growth/value-creation opportunities, as well as scale and depth of impact</w:t>
      </w:r>
      <w:r w:rsidR="00D34A51" w:rsidRPr="00EC37C1">
        <w:rPr>
          <w:sz w:val="22"/>
          <w:szCs w:val="22"/>
          <w:lang w:val="en-GB"/>
        </w:rPr>
        <w:t>.</w:t>
      </w:r>
    </w:p>
    <w:p w14:paraId="3C95368D" w14:textId="77777777" w:rsidR="006F3874" w:rsidRPr="001A77D8" w:rsidRDefault="006F3874" w:rsidP="006F3874">
      <w:pPr>
        <w:pStyle w:val="ListParagraph"/>
        <w:spacing w:after="200" w:line="276" w:lineRule="auto"/>
        <w:ind w:left="0"/>
        <w:jc w:val="both"/>
        <w:rPr>
          <w:sz w:val="22"/>
          <w:szCs w:val="22"/>
          <w:lang w:val="en-GB"/>
        </w:rPr>
      </w:pPr>
    </w:p>
    <w:p w14:paraId="6BB9EC3B" w14:textId="7A7ECD1C" w:rsidR="00A621D8" w:rsidRDefault="00A621D8" w:rsidP="006F3874">
      <w:pPr>
        <w:pStyle w:val="ListParagraph"/>
        <w:spacing w:after="200" w:line="276" w:lineRule="auto"/>
        <w:ind w:left="0"/>
        <w:jc w:val="both"/>
        <w:rPr>
          <w:sz w:val="22"/>
          <w:szCs w:val="22"/>
          <w:lang w:val="en-GB"/>
        </w:rPr>
      </w:pPr>
      <w:r>
        <w:rPr>
          <w:sz w:val="22"/>
          <w:szCs w:val="22"/>
          <w:lang w:val="en-GB"/>
        </w:rPr>
        <w:t xml:space="preserve">The Fund </w:t>
      </w:r>
      <w:proofErr w:type="gramStart"/>
      <w:r>
        <w:rPr>
          <w:sz w:val="22"/>
          <w:szCs w:val="22"/>
          <w:lang w:val="en-GB"/>
        </w:rPr>
        <w:t>invests :</w:t>
      </w:r>
      <w:proofErr w:type="gramEnd"/>
      <w:r>
        <w:rPr>
          <w:sz w:val="22"/>
          <w:szCs w:val="22"/>
          <w:lang w:val="en-GB"/>
        </w:rPr>
        <w:t xml:space="preserve"> (</w:t>
      </w:r>
      <w:proofErr w:type="spellStart"/>
      <w:r>
        <w:rPr>
          <w:sz w:val="22"/>
          <w:szCs w:val="22"/>
          <w:lang w:val="en-GB"/>
        </w:rPr>
        <w:t>i</w:t>
      </w:r>
      <w:proofErr w:type="spellEnd"/>
      <w:r>
        <w:rPr>
          <w:sz w:val="22"/>
          <w:szCs w:val="22"/>
          <w:lang w:val="en-GB"/>
        </w:rPr>
        <w:t xml:space="preserve">) </w:t>
      </w:r>
      <w:r w:rsidR="00F75887">
        <w:rPr>
          <w:sz w:val="22"/>
          <w:szCs w:val="22"/>
          <w:lang w:val="en-GB"/>
        </w:rPr>
        <w:t>9</w:t>
      </w:r>
      <w:r>
        <w:rPr>
          <w:sz w:val="22"/>
          <w:szCs w:val="22"/>
          <w:lang w:val="en-GB"/>
        </w:rPr>
        <w:t xml:space="preserve">0% in </w:t>
      </w:r>
      <w:r w:rsidR="0091411C">
        <w:rPr>
          <w:sz w:val="22"/>
          <w:szCs w:val="22"/>
          <w:lang w:val="en-GB"/>
        </w:rPr>
        <w:t xml:space="preserve">environmentally </w:t>
      </w:r>
      <w:r w:rsidR="00D13390">
        <w:rPr>
          <w:sz w:val="22"/>
          <w:szCs w:val="22"/>
          <w:lang w:val="en-GB"/>
        </w:rPr>
        <w:t>s</w:t>
      </w:r>
      <w:r w:rsidR="0091411C">
        <w:rPr>
          <w:sz w:val="22"/>
          <w:szCs w:val="22"/>
          <w:lang w:val="en-GB"/>
        </w:rPr>
        <w:t xml:space="preserve">ustainable </w:t>
      </w:r>
      <w:r w:rsidR="00D13390">
        <w:rPr>
          <w:sz w:val="22"/>
          <w:szCs w:val="22"/>
          <w:lang w:val="en-GB"/>
        </w:rPr>
        <w:t>i</w:t>
      </w:r>
      <w:r w:rsidRPr="00A621D8">
        <w:rPr>
          <w:sz w:val="22"/>
          <w:szCs w:val="22"/>
          <w:lang w:val="en-GB"/>
        </w:rPr>
        <w:t>nvestments</w:t>
      </w:r>
      <w:r w:rsidRPr="006F3874">
        <w:rPr>
          <w:sz w:val="22"/>
          <w:szCs w:val="22"/>
          <w:lang w:val="en-GB"/>
        </w:rPr>
        <w:t xml:space="preserve">; and (ii) </w:t>
      </w:r>
      <w:r w:rsidR="0091411C">
        <w:rPr>
          <w:sz w:val="22"/>
          <w:szCs w:val="22"/>
          <w:lang w:val="en-GB"/>
        </w:rPr>
        <w:t>1</w:t>
      </w:r>
      <w:r w:rsidRPr="006F3874">
        <w:rPr>
          <w:sz w:val="22"/>
          <w:szCs w:val="22"/>
          <w:lang w:val="en-GB"/>
        </w:rPr>
        <w:t>0</w:t>
      </w:r>
      <w:r w:rsidR="0091411C">
        <w:rPr>
          <w:sz w:val="22"/>
          <w:szCs w:val="22"/>
          <w:lang w:val="en-GB"/>
        </w:rPr>
        <w:t>%</w:t>
      </w:r>
      <w:r w:rsidR="00F52C7E">
        <w:rPr>
          <w:sz w:val="22"/>
          <w:szCs w:val="22"/>
          <w:lang w:val="en-GB"/>
        </w:rPr>
        <w:t xml:space="preserve"> </w:t>
      </w:r>
      <w:r w:rsidR="00AA01C6">
        <w:rPr>
          <w:sz w:val="22"/>
          <w:szCs w:val="22"/>
          <w:lang w:val="en-GB"/>
        </w:rPr>
        <w:t>in</w:t>
      </w:r>
      <w:r w:rsidR="00F52C7E">
        <w:rPr>
          <w:sz w:val="22"/>
          <w:szCs w:val="22"/>
          <w:lang w:val="en-GB"/>
        </w:rPr>
        <w:t xml:space="preserve"> </w:t>
      </w:r>
      <w:r w:rsidR="00D13390">
        <w:rPr>
          <w:sz w:val="22"/>
          <w:szCs w:val="22"/>
          <w:lang w:val="en-GB"/>
        </w:rPr>
        <w:t>other</w:t>
      </w:r>
      <w:r w:rsidR="00F52C7E">
        <w:rPr>
          <w:sz w:val="22"/>
          <w:szCs w:val="22"/>
          <w:lang w:val="en-GB"/>
        </w:rPr>
        <w:t xml:space="preserve"> </w:t>
      </w:r>
      <w:r w:rsidR="00D13390">
        <w:rPr>
          <w:sz w:val="22"/>
          <w:szCs w:val="22"/>
          <w:lang w:val="en-GB"/>
        </w:rPr>
        <w:t>i</w:t>
      </w:r>
      <w:r w:rsidR="00F52C7E">
        <w:rPr>
          <w:sz w:val="22"/>
          <w:szCs w:val="22"/>
          <w:lang w:val="en-GB"/>
        </w:rPr>
        <w:t>nvestment</w:t>
      </w:r>
      <w:r w:rsidR="0091411C">
        <w:rPr>
          <w:sz w:val="22"/>
          <w:szCs w:val="22"/>
          <w:lang w:val="en-GB"/>
        </w:rPr>
        <w:t xml:space="preserve"> </w:t>
      </w:r>
      <w:r w:rsidR="00AA01C6">
        <w:rPr>
          <w:sz w:val="22"/>
          <w:szCs w:val="22"/>
          <w:lang w:val="en-GB"/>
        </w:rPr>
        <w:t xml:space="preserve">which </w:t>
      </w:r>
      <w:r w:rsidR="002B6CC6">
        <w:rPr>
          <w:sz w:val="22"/>
          <w:szCs w:val="22"/>
          <w:lang w:val="en-GB"/>
        </w:rPr>
        <w:t xml:space="preserve">will </w:t>
      </w:r>
      <w:r w:rsidR="00411FC3">
        <w:rPr>
          <w:sz w:val="22"/>
          <w:szCs w:val="22"/>
          <w:lang w:val="en-GB"/>
        </w:rPr>
        <w:t xml:space="preserve">be composed of </w:t>
      </w:r>
      <w:r w:rsidR="00F52C7E">
        <w:rPr>
          <w:sz w:val="22"/>
          <w:szCs w:val="22"/>
          <w:lang w:val="en-GB"/>
        </w:rPr>
        <w:t xml:space="preserve">cash used for efficient </w:t>
      </w:r>
      <w:proofErr w:type="spellStart"/>
      <w:r w:rsidR="00917F3A">
        <w:rPr>
          <w:sz w:val="22"/>
          <w:szCs w:val="22"/>
          <w:lang w:val="en-GB"/>
        </w:rPr>
        <w:t>liduidity</w:t>
      </w:r>
      <w:proofErr w:type="spellEnd"/>
      <w:r w:rsidR="00917F3A">
        <w:rPr>
          <w:sz w:val="22"/>
          <w:szCs w:val="22"/>
          <w:lang w:val="en-GB"/>
        </w:rPr>
        <w:t xml:space="preserve"> and efficient portfolio management or cost management</w:t>
      </w:r>
      <w:r w:rsidR="00AA01C6">
        <w:rPr>
          <w:sz w:val="22"/>
          <w:szCs w:val="22"/>
          <w:lang w:val="en-GB"/>
        </w:rPr>
        <w:t xml:space="preserve">. It is noted that the cash will constantly fluctuate and will not affect the </w:t>
      </w:r>
      <w:r w:rsidR="00D13390">
        <w:rPr>
          <w:sz w:val="22"/>
          <w:szCs w:val="22"/>
          <w:lang w:val="en-GB"/>
        </w:rPr>
        <w:t>sustainable objective</w:t>
      </w:r>
      <w:r w:rsidR="00AA01C6">
        <w:rPr>
          <w:sz w:val="22"/>
          <w:szCs w:val="22"/>
          <w:lang w:val="en-GB"/>
        </w:rPr>
        <w:t xml:space="preserve"> of the Fund. </w:t>
      </w:r>
    </w:p>
    <w:p w14:paraId="1D173AAC" w14:textId="77777777" w:rsidR="006F3874" w:rsidRPr="00A621D8" w:rsidRDefault="006F3874" w:rsidP="006F3874">
      <w:pPr>
        <w:pStyle w:val="ListParagraph"/>
        <w:spacing w:after="200" w:line="276" w:lineRule="auto"/>
        <w:ind w:left="0"/>
        <w:jc w:val="both"/>
        <w:rPr>
          <w:sz w:val="22"/>
          <w:szCs w:val="22"/>
          <w:lang w:val="en-GB"/>
        </w:rPr>
      </w:pPr>
    </w:p>
    <w:p w14:paraId="65D52FF3" w14:textId="1F328CF0" w:rsidR="00A621D8" w:rsidRDefault="00A621D8" w:rsidP="006F3874">
      <w:pPr>
        <w:pStyle w:val="ListParagraph"/>
        <w:spacing w:after="200" w:line="276" w:lineRule="auto"/>
        <w:ind w:left="0"/>
        <w:jc w:val="both"/>
        <w:rPr>
          <w:sz w:val="22"/>
          <w:szCs w:val="22"/>
          <w:lang w:val="en-GB"/>
        </w:rPr>
      </w:pPr>
      <w:r w:rsidRPr="00A621D8">
        <w:rPr>
          <w:sz w:val="22"/>
          <w:szCs w:val="22"/>
          <w:lang w:val="en-GB"/>
        </w:rPr>
        <w:t>The Manager will do a qualitative assessment of sustainability indicators on a regular basis and will actively monitor sustainability indicators and ESG incidents and will review ESG progress on an annual basis.</w:t>
      </w:r>
    </w:p>
    <w:p w14:paraId="7155A35C" w14:textId="77777777" w:rsidR="006F3874" w:rsidRDefault="006F3874" w:rsidP="006F3874">
      <w:pPr>
        <w:pStyle w:val="ListParagraph"/>
        <w:spacing w:after="200" w:line="276" w:lineRule="auto"/>
        <w:ind w:left="0"/>
        <w:jc w:val="both"/>
        <w:rPr>
          <w:sz w:val="22"/>
          <w:szCs w:val="22"/>
          <w:lang w:val="en-GB"/>
        </w:rPr>
      </w:pPr>
    </w:p>
    <w:p w14:paraId="1DD6B073" w14:textId="5E576AB6" w:rsidR="00A621D8" w:rsidRDefault="00A621D8" w:rsidP="006F3874">
      <w:pPr>
        <w:pStyle w:val="ListParagraph"/>
        <w:spacing w:after="200" w:line="276" w:lineRule="auto"/>
        <w:ind w:left="0"/>
        <w:jc w:val="both"/>
        <w:rPr>
          <w:sz w:val="22"/>
          <w:szCs w:val="22"/>
          <w:lang w:val="en-GB"/>
        </w:rPr>
      </w:pPr>
      <w:r>
        <w:rPr>
          <w:sz w:val="22"/>
          <w:szCs w:val="22"/>
          <w:lang w:val="en-GB"/>
        </w:rPr>
        <w:t>The Manager’s</w:t>
      </w:r>
      <w:r w:rsidRPr="000429F9">
        <w:rPr>
          <w:sz w:val="22"/>
          <w:szCs w:val="22"/>
          <w:lang w:val="en-GB"/>
        </w:rPr>
        <w:t xml:space="preserve"> impact and ESG assessment and management methodology is based on the following tools:</w:t>
      </w:r>
      <w:r>
        <w:rPr>
          <w:sz w:val="22"/>
          <w:szCs w:val="22"/>
          <w:lang w:val="en-GB"/>
        </w:rPr>
        <w:t xml:space="preserve"> (1) </w:t>
      </w:r>
      <w:r w:rsidRPr="00A621D8">
        <w:rPr>
          <w:sz w:val="22"/>
          <w:szCs w:val="22"/>
          <w:lang w:val="en-GB"/>
        </w:rPr>
        <w:t>Impact Management Project</w:t>
      </w:r>
      <w:r>
        <w:rPr>
          <w:sz w:val="22"/>
          <w:szCs w:val="22"/>
          <w:lang w:val="en-GB"/>
        </w:rPr>
        <w:t xml:space="preserve">; (2) </w:t>
      </w:r>
      <w:r w:rsidRPr="00A621D8">
        <w:rPr>
          <w:sz w:val="22"/>
          <w:szCs w:val="22"/>
          <w:lang w:val="en-GB"/>
        </w:rPr>
        <w:t>Logic Model ("Theory of Change")</w:t>
      </w:r>
      <w:r>
        <w:rPr>
          <w:sz w:val="22"/>
          <w:szCs w:val="22"/>
          <w:lang w:val="en-GB"/>
        </w:rPr>
        <w:t xml:space="preserve">; (3) </w:t>
      </w:r>
      <w:r w:rsidRPr="00A621D8">
        <w:rPr>
          <w:sz w:val="22"/>
          <w:szCs w:val="22"/>
          <w:lang w:val="en-GB"/>
        </w:rPr>
        <w:t>United Nations Sustainable Development Goals</w:t>
      </w:r>
      <w:r>
        <w:rPr>
          <w:sz w:val="22"/>
          <w:szCs w:val="22"/>
          <w:lang w:val="en-GB"/>
        </w:rPr>
        <w:t xml:space="preserve">; (4) </w:t>
      </w:r>
      <w:r w:rsidRPr="00A621D8">
        <w:rPr>
          <w:sz w:val="22"/>
          <w:szCs w:val="22"/>
          <w:lang w:val="en-GB"/>
        </w:rPr>
        <w:t>IRIS metrics</w:t>
      </w:r>
      <w:r>
        <w:rPr>
          <w:sz w:val="22"/>
          <w:szCs w:val="22"/>
          <w:lang w:val="en-GB"/>
        </w:rPr>
        <w:t xml:space="preserve">; and </w:t>
      </w:r>
      <w:r w:rsidRPr="00A621D8">
        <w:rPr>
          <w:sz w:val="22"/>
          <w:szCs w:val="22"/>
          <w:lang w:val="en-GB"/>
        </w:rPr>
        <w:t>ESG Due Diligence Tools</w:t>
      </w:r>
      <w:r>
        <w:rPr>
          <w:sz w:val="22"/>
          <w:szCs w:val="22"/>
          <w:lang w:val="en-GB"/>
        </w:rPr>
        <w:t>.</w:t>
      </w:r>
    </w:p>
    <w:p w14:paraId="5AA5A5ED" w14:textId="77777777" w:rsidR="006F3874" w:rsidRDefault="006F3874" w:rsidP="006F3874">
      <w:pPr>
        <w:pStyle w:val="ListParagraph"/>
        <w:spacing w:after="200" w:line="276" w:lineRule="auto"/>
        <w:ind w:left="0"/>
        <w:jc w:val="both"/>
        <w:rPr>
          <w:sz w:val="22"/>
          <w:szCs w:val="22"/>
          <w:lang w:val="en-GB"/>
        </w:rPr>
      </w:pPr>
    </w:p>
    <w:p w14:paraId="548752AF" w14:textId="308021C0" w:rsidR="001A77D8" w:rsidRDefault="001A77D8" w:rsidP="006F3874">
      <w:pPr>
        <w:pStyle w:val="ListParagraph"/>
        <w:spacing w:after="200" w:line="276" w:lineRule="auto"/>
        <w:ind w:left="0"/>
        <w:jc w:val="both"/>
        <w:rPr>
          <w:sz w:val="22"/>
          <w:szCs w:val="22"/>
          <w:lang w:val="en-GB"/>
        </w:rPr>
      </w:pPr>
      <w:r>
        <w:rPr>
          <w:sz w:val="22"/>
          <w:szCs w:val="22"/>
          <w:lang w:val="en-GB"/>
        </w:rPr>
        <w:t>Investments</w:t>
      </w:r>
      <w:r w:rsidRPr="00D33E94">
        <w:rPr>
          <w:sz w:val="22"/>
          <w:szCs w:val="22"/>
          <w:lang w:val="en-GB"/>
        </w:rPr>
        <w:t xml:space="preserve"> will be selected only after multiple assessment points in the investment lifecycle, from deal sourcing and due diligence through exit, for their potential to generate environmental and social impact in line with the </w:t>
      </w:r>
      <w:r>
        <w:rPr>
          <w:sz w:val="22"/>
          <w:szCs w:val="22"/>
          <w:lang w:val="en-GB"/>
        </w:rPr>
        <w:t>F</w:t>
      </w:r>
      <w:r w:rsidRPr="00D33E94">
        <w:rPr>
          <w:sz w:val="22"/>
          <w:szCs w:val="22"/>
          <w:lang w:val="en-GB"/>
        </w:rPr>
        <w:t>und'</w:t>
      </w:r>
      <w:r>
        <w:rPr>
          <w:sz w:val="22"/>
          <w:szCs w:val="22"/>
          <w:lang w:val="en-GB"/>
        </w:rPr>
        <w:t>s</w:t>
      </w:r>
      <w:r w:rsidRPr="00D33E94">
        <w:rPr>
          <w:sz w:val="22"/>
          <w:szCs w:val="22"/>
          <w:lang w:val="en-GB"/>
        </w:rPr>
        <w:t xml:space="preserve"> mandates</w:t>
      </w:r>
      <w:r w:rsidR="00521411">
        <w:rPr>
          <w:sz w:val="22"/>
          <w:szCs w:val="22"/>
          <w:lang w:val="en-GB"/>
        </w:rPr>
        <w:t xml:space="preserve"> and the Fund’s </w:t>
      </w:r>
      <w:r w:rsidR="0050243E">
        <w:rPr>
          <w:sz w:val="22"/>
          <w:szCs w:val="22"/>
          <w:lang w:val="en-GB"/>
        </w:rPr>
        <w:t>s</w:t>
      </w:r>
      <w:r w:rsidR="00495647">
        <w:rPr>
          <w:sz w:val="22"/>
          <w:szCs w:val="22"/>
          <w:lang w:val="en-GB"/>
        </w:rPr>
        <w:t xml:space="preserve">ustainable </w:t>
      </w:r>
      <w:r w:rsidR="0050243E">
        <w:rPr>
          <w:sz w:val="22"/>
          <w:szCs w:val="22"/>
          <w:lang w:val="en-GB"/>
        </w:rPr>
        <w:t>i</w:t>
      </w:r>
      <w:r w:rsidR="00495647">
        <w:rPr>
          <w:sz w:val="22"/>
          <w:szCs w:val="22"/>
          <w:lang w:val="en-GB"/>
        </w:rPr>
        <w:t>nvestment objective</w:t>
      </w:r>
      <w:r w:rsidRPr="00D33E94">
        <w:rPr>
          <w:sz w:val="22"/>
          <w:szCs w:val="22"/>
          <w:lang w:val="en-GB"/>
        </w:rPr>
        <w:t>.</w:t>
      </w:r>
    </w:p>
    <w:p w14:paraId="752BB15B" w14:textId="77777777" w:rsidR="006F3874" w:rsidRDefault="006F3874" w:rsidP="006F3874">
      <w:pPr>
        <w:pStyle w:val="ListParagraph"/>
        <w:spacing w:after="200" w:line="276" w:lineRule="auto"/>
        <w:ind w:left="0"/>
        <w:jc w:val="both"/>
        <w:rPr>
          <w:sz w:val="22"/>
          <w:szCs w:val="22"/>
          <w:lang w:val="en-GB"/>
        </w:rPr>
      </w:pPr>
    </w:p>
    <w:p w14:paraId="6DC2E759" w14:textId="66A384D3" w:rsidR="00366B77" w:rsidRPr="008049D2" w:rsidRDefault="00366B77" w:rsidP="006F3874">
      <w:pPr>
        <w:pStyle w:val="ListParagraph"/>
        <w:spacing w:after="200" w:line="276" w:lineRule="auto"/>
        <w:ind w:left="0"/>
        <w:jc w:val="both"/>
        <w:rPr>
          <w:sz w:val="22"/>
          <w:szCs w:val="22"/>
          <w:lang w:val="en-GB"/>
        </w:rPr>
      </w:pPr>
      <w:r w:rsidRPr="008049D2">
        <w:rPr>
          <w:sz w:val="22"/>
          <w:szCs w:val="22"/>
          <w:lang w:val="en-GB"/>
        </w:rPr>
        <w:t>The Fund pursues an active investment management strategy and does not invest by reference to any index and does not intend to do so.</w:t>
      </w:r>
    </w:p>
    <w:p w14:paraId="67AAEBF5" w14:textId="77777777" w:rsidR="009312B4" w:rsidRPr="008049D2" w:rsidRDefault="009312B4" w:rsidP="00B81106">
      <w:pPr>
        <w:pStyle w:val="ListParagraph"/>
        <w:rPr>
          <w:sz w:val="22"/>
          <w:szCs w:val="22"/>
          <w:lang w:val="en-GB"/>
        </w:rPr>
      </w:pPr>
    </w:p>
    <w:p w14:paraId="69D59433" w14:textId="352DA878" w:rsidR="008530F6" w:rsidRPr="008049D2" w:rsidRDefault="008530F6" w:rsidP="008530F6">
      <w:pPr>
        <w:pStyle w:val="Heading1"/>
        <w:numPr>
          <w:ilvl w:val="0"/>
          <w:numId w:val="26"/>
        </w:numPr>
        <w:ind w:left="709"/>
        <w:rPr>
          <w:sz w:val="22"/>
          <w:szCs w:val="22"/>
          <w:lang w:val="en-GB"/>
        </w:rPr>
      </w:pPr>
      <w:r w:rsidRPr="008049D2">
        <w:rPr>
          <w:sz w:val="22"/>
          <w:szCs w:val="22"/>
          <w:lang w:val="en-GB"/>
        </w:rPr>
        <w:t xml:space="preserve">No </w:t>
      </w:r>
      <w:r w:rsidR="00687163">
        <w:rPr>
          <w:sz w:val="22"/>
          <w:szCs w:val="22"/>
          <w:lang w:val="en-GB"/>
        </w:rPr>
        <w:t xml:space="preserve">significant harm to the </w:t>
      </w:r>
      <w:r w:rsidRPr="008049D2">
        <w:rPr>
          <w:sz w:val="22"/>
          <w:szCs w:val="22"/>
          <w:lang w:val="en-GB"/>
        </w:rPr>
        <w:t>sustainable investment objective</w:t>
      </w:r>
    </w:p>
    <w:p w14:paraId="4778CA4A" w14:textId="77777777" w:rsidR="00E12CF2" w:rsidRDefault="00E12CF2" w:rsidP="004361BB">
      <w:pPr>
        <w:pStyle w:val="ListParagraph"/>
        <w:spacing w:after="200" w:line="276" w:lineRule="auto"/>
        <w:ind w:left="0"/>
        <w:jc w:val="both"/>
        <w:rPr>
          <w:sz w:val="22"/>
          <w:szCs w:val="22"/>
          <w:lang w:val="en-GB"/>
        </w:rPr>
      </w:pPr>
    </w:p>
    <w:p w14:paraId="60F1EA86" w14:textId="547317A2" w:rsidR="001A1BE5" w:rsidRPr="006F27F0" w:rsidRDefault="001A1BE5" w:rsidP="001A1BE5">
      <w:pPr>
        <w:spacing w:line="300" w:lineRule="atLeast"/>
        <w:jc w:val="both"/>
        <w:rPr>
          <w:rFonts w:eastAsia="PMingLiU" w:cstheme="minorHAnsi"/>
          <w:sz w:val="22"/>
          <w:szCs w:val="22"/>
          <w:lang w:val="en-GB"/>
        </w:rPr>
      </w:pPr>
      <w:r w:rsidRPr="006F27F0">
        <w:rPr>
          <w:rFonts w:eastAsia="PMingLiU" w:cstheme="minorHAnsi"/>
          <w:sz w:val="22"/>
          <w:szCs w:val="22"/>
          <w:lang w:val="en-GB"/>
        </w:rPr>
        <w:t>The Fund has as its objective sustainable investment and complies with the “do not significantly harm” principle within the meaning of Art. 2(17) SFDR, by</w:t>
      </w:r>
      <w:r w:rsidRPr="006F27F0">
        <w:rPr>
          <w:lang w:val="en-GB"/>
        </w:rPr>
        <w:t xml:space="preserve"> </w:t>
      </w:r>
      <w:r w:rsidRPr="006F27F0">
        <w:rPr>
          <w:rFonts w:eastAsia="PMingLiU" w:cstheme="minorHAnsi"/>
          <w:sz w:val="22"/>
          <w:szCs w:val="22"/>
          <w:lang w:val="en-GB"/>
        </w:rPr>
        <w:t xml:space="preserve">screening potential </w:t>
      </w:r>
      <w:r w:rsidR="0050243E">
        <w:rPr>
          <w:rFonts w:eastAsia="PMingLiU" w:cstheme="minorHAnsi"/>
          <w:sz w:val="22"/>
          <w:szCs w:val="22"/>
          <w:lang w:val="en-GB"/>
        </w:rPr>
        <w:t>i</w:t>
      </w:r>
      <w:r w:rsidRPr="006F27F0">
        <w:rPr>
          <w:rFonts w:eastAsia="PMingLiU" w:cstheme="minorHAnsi"/>
          <w:sz w:val="22"/>
          <w:szCs w:val="22"/>
          <w:lang w:val="en-GB"/>
        </w:rPr>
        <w:t xml:space="preserve">nvestments and </w:t>
      </w:r>
      <w:r w:rsidRPr="006F27F0">
        <w:rPr>
          <w:rFonts w:eastAsia="PMingLiU" w:cstheme="minorHAnsi"/>
          <w:sz w:val="22"/>
          <w:szCs w:val="22"/>
          <w:lang w:val="en-GB"/>
        </w:rPr>
        <w:lastRenderedPageBreak/>
        <w:t xml:space="preserve">managing the environmental and social performance of </w:t>
      </w:r>
      <w:r w:rsidR="0050243E">
        <w:rPr>
          <w:rFonts w:eastAsia="PMingLiU" w:cstheme="minorHAnsi"/>
          <w:sz w:val="22"/>
          <w:szCs w:val="22"/>
          <w:lang w:val="en-GB"/>
        </w:rPr>
        <w:t>i</w:t>
      </w:r>
      <w:r w:rsidRPr="006F27F0">
        <w:rPr>
          <w:rFonts w:eastAsia="PMingLiU" w:cstheme="minorHAnsi"/>
          <w:sz w:val="22"/>
          <w:szCs w:val="22"/>
          <w:lang w:val="en-GB"/>
        </w:rPr>
        <w:t xml:space="preserve">nvestments throughout the life of the </w:t>
      </w:r>
      <w:r w:rsidR="0050243E">
        <w:rPr>
          <w:rFonts w:eastAsia="PMingLiU" w:cstheme="minorHAnsi"/>
          <w:sz w:val="22"/>
          <w:szCs w:val="22"/>
          <w:lang w:val="en-GB"/>
        </w:rPr>
        <w:t>i</w:t>
      </w:r>
      <w:r w:rsidRPr="006F27F0">
        <w:rPr>
          <w:rFonts w:eastAsia="PMingLiU" w:cstheme="minorHAnsi"/>
          <w:sz w:val="22"/>
          <w:szCs w:val="22"/>
          <w:lang w:val="en-GB"/>
        </w:rPr>
        <w:t xml:space="preserve">nvestment, in accordance with the ESG requirements and the </w:t>
      </w:r>
      <w:r w:rsidR="0050243E">
        <w:rPr>
          <w:rFonts w:eastAsia="PMingLiU" w:cstheme="minorHAnsi"/>
          <w:sz w:val="22"/>
          <w:szCs w:val="22"/>
          <w:lang w:val="en-GB"/>
        </w:rPr>
        <w:t>PASIs</w:t>
      </w:r>
      <w:r w:rsidRPr="006F27F0">
        <w:rPr>
          <w:rFonts w:eastAsia="PMingLiU" w:cstheme="minorHAnsi"/>
          <w:sz w:val="22"/>
          <w:szCs w:val="22"/>
          <w:lang w:val="en-GB"/>
        </w:rPr>
        <w:t xml:space="preserve"> assessment. </w:t>
      </w:r>
    </w:p>
    <w:p w14:paraId="77AE1CE1" w14:textId="3FBA2DBB" w:rsidR="008530F6" w:rsidRDefault="008530F6" w:rsidP="004361BB">
      <w:pPr>
        <w:pStyle w:val="ListParagraph"/>
        <w:spacing w:after="200" w:line="276" w:lineRule="auto"/>
        <w:ind w:left="0"/>
        <w:jc w:val="both"/>
        <w:rPr>
          <w:sz w:val="22"/>
          <w:szCs w:val="22"/>
          <w:lang w:val="en-GB"/>
        </w:rPr>
      </w:pPr>
      <w:r w:rsidRPr="008049D2">
        <w:rPr>
          <w:sz w:val="22"/>
          <w:szCs w:val="22"/>
          <w:lang w:val="en-GB"/>
        </w:rPr>
        <w:t>A sustainable investment (“</w:t>
      </w:r>
      <w:r w:rsidRPr="008049D2">
        <w:rPr>
          <w:b/>
          <w:bCs/>
          <w:sz w:val="22"/>
          <w:szCs w:val="22"/>
          <w:lang w:val="en-GB"/>
        </w:rPr>
        <w:t>Sustainable Investment</w:t>
      </w:r>
      <w:r w:rsidRPr="008049D2">
        <w:rPr>
          <w:sz w:val="22"/>
          <w:szCs w:val="22"/>
          <w:lang w:val="en-GB"/>
        </w:rPr>
        <w:t xml:space="preserve">”) means, in accordance with article 2 (17) of </w:t>
      </w:r>
      <w:r w:rsidR="001A172F">
        <w:rPr>
          <w:sz w:val="22"/>
          <w:szCs w:val="22"/>
          <w:lang w:val="en-GB"/>
        </w:rPr>
        <w:t>SFDR</w:t>
      </w:r>
      <w:r w:rsidRPr="008049D2">
        <w:rPr>
          <w:sz w:val="22"/>
          <w:szCs w:val="22"/>
          <w:lang w:val="en-GB"/>
        </w:rPr>
        <w:t>, an investment in an economic activity that contributes to an environmental objective, as measured, for example, by key resource efficiency indicators on the use of energy, renewable energy, raw materials, water and land, on the production of waste, and greenhouse gas emissions, or on its impact on biodiversity and the circular economy, or an investment in an economic activity that contributes to a social objective, in particular an investment that contributes to tackling inequality or that fosters social cohesion, social integration and labo</w:t>
      </w:r>
      <w:r w:rsidR="0041326F">
        <w:rPr>
          <w:sz w:val="22"/>
          <w:szCs w:val="22"/>
          <w:lang w:val="en-GB"/>
        </w:rPr>
        <w:t>u</w:t>
      </w:r>
      <w:r w:rsidRPr="008049D2">
        <w:rPr>
          <w:sz w:val="22"/>
          <w:szCs w:val="22"/>
          <w:lang w:val="en-GB"/>
        </w:rPr>
        <w:t>r relations, or an investment in human capital or economically or socially disadvantaged communities, provided that such investments do not significantly harm any of those objectives and that the investee companies follow good governance practices, in particular with respect to sound management structures, employee relations, remuneration of staff and tax compliance.</w:t>
      </w:r>
    </w:p>
    <w:p w14:paraId="64793AF2" w14:textId="77777777" w:rsidR="002E03C6" w:rsidRDefault="002E03C6" w:rsidP="004361BB">
      <w:pPr>
        <w:pStyle w:val="ListParagraph"/>
        <w:spacing w:after="200" w:line="276" w:lineRule="auto"/>
        <w:ind w:left="0"/>
        <w:jc w:val="both"/>
        <w:rPr>
          <w:sz w:val="22"/>
          <w:szCs w:val="22"/>
          <w:lang w:val="en-GB"/>
        </w:rPr>
      </w:pPr>
    </w:p>
    <w:p w14:paraId="3E3C59DA" w14:textId="19D731DB" w:rsidR="0052034C" w:rsidRDefault="00E50703" w:rsidP="004361BB">
      <w:pPr>
        <w:pStyle w:val="ListParagraph"/>
        <w:spacing w:after="200" w:line="276" w:lineRule="auto"/>
        <w:ind w:left="0"/>
        <w:jc w:val="both"/>
        <w:rPr>
          <w:sz w:val="22"/>
          <w:szCs w:val="22"/>
          <w:lang w:val="en-GB"/>
        </w:rPr>
      </w:pPr>
      <w:r w:rsidRPr="003D578B">
        <w:rPr>
          <w:rFonts w:eastAsia="PMingLiU" w:cstheme="minorHAnsi"/>
          <w:sz w:val="22"/>
          <w:szCs w:val="22"/>
          <w:lang w:val="en-GB"/>
        </w:rPr>
        <w:t xml:space="preserve">For all </w:t>
      </w:r>
      <w:r w:rsidR="000E5FF1">
        <w:rPr>
          <w:rFonts w:eastAsia="PMingLiU" w:cstheme="minorHAnsi"/>
          <w:sz w:val="22"/>
          <w:szCs w:val="22"/>
          <w:lang w:val="en-GB"/>
        </w:rPr>
        <w:t>Sustainable I</w:t>
      </w:r>
      <w:r w:rsidRPr="003D578B">
        <w:rPr>
          <w:rFonts w:eastAsia="PMingLiU" w:cstheme="minorHAnsi"/>
          <w:sz w:val="22"/>
          <w:szCs w:val="22"/>
          <w:lang w:val="en-GB"/>
        </w:rPr>
        <w:t xml:space="preserve">nvestments it shall be ensured that the Fund is not contributing to potentially negative effects on the environment, clients, employees and communities of the issuers and minimizing sustainability related risks. </w:t>
      </w:r>
      <w:r w:rsidRPr="006F27F0">
        <w:rPr>
          <w:rFonts w:eastAsia="PMingLiU" w:cstheme="minorHAnsi"/>
          <w:sz w:val="22"/>
          <w:szCs w:val="22"/>
          <w:lang w:val="en-GB"/>
        </w:rPr>
        <w:t>Careful assessment and monitoring on ESG-factors thus is a central part of the Fund’s investment process.</w:t>
      </w:r>
      <w:r w:rsidR="002E03C6">
        <w:rPr>
          <w:rFonts w:eastAsia="PMingLiU" w:cstheme="minorHAnsi"/>
          <w:sz w:val="22"/>
          <w:szCs w:val="22"/>
          <w:lang w:val="en-GB"/>
        </w:rPr>
        <w:t xml:space="preserve"> </w:t>
      </w:r>
      <w:r w:rsidR="00BB13A9">
        <w:rPr>
          <w:sz w:val="22"/>
          <w:szCs w:val="22"/>
          <w:lang w:val="en-GB"/>
        </w:rPr>
        <w:t>T</w:t>
      </w:r>
      <w:r w:rsidR="0052034C" w:rsidRPr="0052034C">
        <w:rPr>
          <w:sz w:val="22"/>
          <w:szCs w:val="22"/>
          <w:lang w:val="en-GB"/>
        </w:rPr>
        <w:t>he Manager will apply screening procedures which shall enable it to identify and assess any significant harm</w:t>
      </w:r>
      <w:r w:rsidR="0052034C">
        <w:rPr>
          <w:sz w:val="22"/>
          <w:szCs w:val="22"/>
          <w:lang w:val="en-GB"/>
        </w:rPr>
        <w:t>.</w:t>
      </w:r>
      <w:r w:rsidR="00B23F89">
        <w:rPr>
          <w:sz w:val="22"/>
          <w:szCs w:val="22"/>
          <w:lang w:val="en-GB"/>
        </w:rPr>
        <w:t xml:space="preserve"> </w:t>
      </w:r>
      <w:r w:rsidR="0052034C" w:rsidRPr="0052034C">
        <w:rPr>
          <w:sz w:val="22"/>
          <w:szCs w:val="22"/>
          <w:lang w:val="en-GB"/>
        </w:rPr>
        <w:t xml:space="preserve">In case there should be significant harm which is unlikely to be remediated by way of active value creation through the Manager, the Fund will abstain from investing in such asset. </w:t>
      </w:r>
    </w:p>
    <w:p w14:paraId="1A95B2C0" w14:textId="22F80A6D" w:rsidR="00BB13A9" w:rsidRDefault="00BB13A9" w:rsidP="004361BB">
      <w:pPr>
        <w:pStyle w:val="ListParagraph"/>
        <w:spacing w:after="200" w:line="276" w:lineRule="auto"/>
        <w:ind w:left="0"/>
        <w:jc w:val="both"/>
        <w:rPr>
          <w:sz w:val="22"/>
          <w:szCs w:val="22"/>
          <w:lang w:val="en-GB"/>
        </w:rPr>
      </w:pPr>
    </w:p>
    <w:p w14:paraId="20B4C0F4" w14:textId="28C68A6C" w:rsidR="00BB13A9" w:rsidRPr="004A3E53" w:rsidRDefault="00140340" w:rsidP="004361BB">
      <w:pPr>
        <w:pStyle w:val="ListParagraph"/>
        <w:spacing w:after="200" w:line="276" w:lineRule="auto"/>
        <w:ind w:left="0"/>
        <w:jc w:val="both"/>
        <w:rPr>
          <w:b/>
          <w:bCs/>
          <w:i/>
          <w:iCs/>
          <w:sz w:val="22"/>
          <w:szCs w:val="22"/>
          <w:lang w:val="en-GB"/>
        </w:rPr>
      </w:pPr>
      <w:r w:rsidRPr="004A3E53">
        <w:rPr>
          <w:b/>
          <w:bCs/>
          <w:i/>
          <w:iCs/>
          <w:sz w:val="22"/>
          <w:szCs w:val="22"/>
          <w:lang w:val="en-GB"/>
        </w:rPr>
        <w:t xml:space="preserve">How have the indicators for adverse impacts on sustainability factors been </w:t>
      </w:r>
      <w:proofErr w:type="gramStart"/>
      <w:r w:rsidRPr="004A3E53">
        <w:rPr>
          <w:b/>
          <w:bCs/>
          <w:i/>
          <w:iCs/>
          <w:sz w:val="22"/>
          <w:szCs w:val="22"/>
          <w:lang w:val="en-GB"/>
        </w:rPr>
        <w:t>taken into account</w:t>
      </w:r>
      <w:proofErr w:type="gramEnd"/>
      <w:r w:rsidRPr="004A3E53">
        <w:rPr>
          <w:b/>
          <w:bCs/>
          <w:i/>
          <w:iCs/>
          <w:sz w:val="22"/>
          <w:szCs w:val="22"/>
          <w:lang w:val="en-GB"/>
        </w:rPr>
        <w:t>?</w:t>
      </w:r>
    </w:p>
    <w:p w14:paraId="63B91F3C" w14:textId="1F1C0F52" w:rsidR="00140340" w:rsidRDefault="00140340" w:rsidP="004361BB">
      <w:pPr>
        <w:pStyle w:val="ListParagraph"/>
        <w:spacing w:after="200" w:line="276" w:lineRule="auto"/>
        <w:ind w:left="0"/>
        <w:jc w:val="both"/>
        <w:rPr>
          <w:sz w:val="22"/>
          <w:szCs w:val="22"/>
          <w:lang w:val="en-GB"/>
        </w:rPr>
      </w:pPr>
    </w:p>
    <w:p w14:paraId="128471EB" w14:textId="1F67AEFC" w:rsidR="00140340" w:rsidRDefault="00434986" w:rsidP="004361BB">
      <w:pPr>
        <w:pStyle w:val="ListParagraph"/>
        <w:spacing w:after="200" w:line="276" w:lineRule="auto"/>
        <w:ind w:left="0"/>
        <w:jc w:val="both"/>
        <w:rPr>
          <w:sz w:val="22"/>
          <w:szCs w:val="22"/>
          <w:lang w:val="en-GB"/>
        </w:rPr>
      </w:pPr>
      <w:r w:rsidRPr="00434986">
        <w:rPr>
          <w:sz w:val="22"/>
          <w:szCs w:val="22"/>
          <w:lang w:val="en-GB"/>
        </w:rPr>
        <w:t>The Manager, based on the Adviser's impact and ESG due diligence process, generally assesses the risk of not achieving the planned impact and strives to identify and manage ESG risks including any negative impact of investment decisions on sustainability factors.</w:t>
      </w:r>
    </w:p>
    <w:p w14:paraId="67B0BA5C" w14:textId="2D99EF09" w:rsidR="00434986" w:rsidRDefault="00434986" w:rsidP="004361BB">
      <w:pPr>
        <w:pStyle w:val="ListParagraph"/>
        <w:spacing w:after="200" w:line="276" w:lineRule="auto"/>
        <w:ind w:left="0"/>
        <w:jc w:val="both"/>
        <w:rPr>
          <w:sz w:val="22"/>
          <w:szCs w:val="22"/>
          <w:lang w:val="en-GB"/>
        </w:rPr>
      </w:pPr>
    </w:p>
    <w:p w14:paraId="05740909" w14:textId="47EB5627" w:rsidR="00434986" w:rsidRPr="004A3E53" w:rsidRDefault="00434986" w:rsidP="00880F1C">
      <w:pPr>
        <w:spacing w:after="200" w:line="276" w:lineRule="auto"/>
        <w:jc w:val="both"/>
        <w:rPr>
          <w:b/>
          <w:bCs/>
          <w:i/>
          <w:iCs/>
          <w:sz w:val="22"/>
          <w:szCs w:val="22"/>
          <w:lang w:val="en-GB"/>
        </w:rPr>
      </w:pPr>
      <w:r w:rsidRPr="00880F1C">
        <w:rPr>
          <w:b/>
          <w:bCs/>
          <w:i/>
          <w:iCs/>
          <w:sz w:val="22"/>
          <w:szCs w:val="22"/>
          <w:lang w:val="en-GB"/>
        </w:rPr>
        <w:t>How are the Sustainable Investments aligned with the OECD Guidelines for Multinational Enterprises and the UN Guiding Principles on Business and Human Right</w:t>
      </w:r>
      <w:r w:rsidR="00880F1C">
        <w:rPr>
          <w:b/>
          <w:bCs/>
          <w:i/>
          <w:iCs/>
          <w:sz w:val="22"/>
          <w:szCs w:val="22"/>
          <w:lang w:val="en-GB"/>
        </w:rPr>
        <w:t>s,</w:t>
      </w:r>
      <w:r w:rsidR="00880F1C" w:rsidRPr="00880F1C">
        <w:t xml:space="preserve"> </w:t>
      </w:r>
      <w:r w:rsidR="00880F1C" w:rsidRPr="00880F1C">
        <w:rPr>
          <w:b/>
          <w:bCs/>
          <w:i/>
          <w:iCs/>
          <w:sz w:val="22"/>
          <w:szCs w:val="22"/>
          <w:lang w:val="en-GB"/>
        </w:rPr>
        <w:t>including the principles and rights set out in the eight fundamental conventions identified in the Declaration of the International Labour Organisation on Fundamental Principles and Rights at Work and the International Bill of Human Rights</w:t>
      </w:r>
      <w:r w:rsidRPr="004A3E53">
        <w:rPr>
          <w:b/>
          <w:bCs/>
          <w:i/>
          <w:iCs/>
          <w:sz w:val="22"/>
          <w:szCs w:val="22"/>
          <w:lang w:val="en-GB"/>
        </w:rPr>
        <w:t xml:space="preserve">? </w:t>
      </w:r>
    </w:p>
    <w:p w14:paraId="754AD4A4" w14:textId="5D16A1B9" w:rsidR="005279BD" w:rsidRDefault="003C7395" w:rsidP="009E412C">
      <w:pPr>
        <w:spacing w:line="300" w:lineRule="atLeast"/>
        <w:jc w:val="both"/>
        <w:rPr>
          <w:rFonts w:cstheme="minorHAnsi"/>
          <w:sz w:val="22"/>
          <w:szCs w:val="22"/>
        </w:rPr>
      </w:pPr>
      <w:bookmarkStart w:id="5" w:name="_Hlk65524153"/>
      <w:r w:rsidRPr="00081FAF">
        <w:rPr>
          <w:rFonts w:cstheme="minorHAnsi"/>
          <w:sz w:val="22"/>
          <w:szCs w:val="22"/>
        </w:rPr>
        <w:t xml:space="preserve">The Manager operates a risk-based approach to the alignment of </w:t>
      </w:r>
      <w:r w:rsidR="000B5D4D">
        <w:rPr>
          <w:rFonts w:cstheme="minorHAnsi"/>
          <w:sz w:val="22"/>
          <w:szCs w:val="22"/>
        </w:rPr>
        <w:t>S</w:t>
      </w:r>
      <w:r w:rsidRPr="00081FAF">
        <w:rPr>
          <w:rFonts w:cstheme="minorHAnsi"/>
          <w:sz w:val="22"/>
          <w:szCs w:val="22"/>
        </w:rPr>
        <w:t xml:space="preserve">ustainable </w:t>
      </w:r>
      <w:r w:rsidR="000B5D4D">
        <w:rPr>
          <w:rFonts w:cstheme="minorHAnsi"/>
          <w:sz w:val="22"/>
          <w:szCs w:val="22"/>
        </w:rPr>
        <w:t>I</w:t>
      </w:r>
      <w:r w:rsidRPr="00081FAF">
        <w:rPr>
          <w:rFonts w:cstheme="minorHAnsi"/>
          <w:sz w:val="22"/>
          <w:szCs w:val="22"/>
        </w:rPr>
        <w:t>nvestments with the OECD Guidelines for Multinational Enterprises and UN Guiding Principles on Business and Human Rights.</w:t>
      </w:r>
      <w:bookmarkEnd w:id="5"/>
    </w:p>
    <w:p w14:paraId="55397885" w14:textId="77777777" w:rsidR="001178F9" w:rsidRPr="009C23AA" w:rsidRDefault="001178F9" w:rsidP="009C23AA">
      <w:pPr>
        <w:spacing w:after="200" w:line="276" w:lineRule="auto"/>
        <w:jc w:val="both"/>
        <w:rPr>
          <w:sz w:val="22"/>
          <w:szCs w:val="22"/>
          <w:lang w:val="en-GB"/>
        </w:rPr>
      </w:pPr>
    </w:p>
    <w:p w14:paraId="492DD0C9" w14:textId="3B05872D" w:rsidR="00B06F65" w:rsidRPr="008049D2" w:rsidRDefault="00687163" w:rsidP="006C4130">
      <w:pPr>
        <w:pStyle w:val="Heading1"/>
        <w:numPr>
          <w:ilvl w:val="0"/>
          <w:numId w:val="26"/>
        </w:numPr>
        <w:ind w:left="709"/>
        <w:rPr>
          <w:sz w:val="22"/>
          <w:szCs w:val="22"/>
          <w:lang w:val="en-GB"/>
        </w:rPr>
      </w:pPr>
      <w:r>
        <w:rPr>
          <w:sz w:val="22"/>
          <w:szCs w:val="22"/>
          <w:lang w:val="en-GB"/>
        </w:rPr>
        <w:t>Sustainable investment objective</w:t>
      </w:r>
      <w:r w:rsidR="009312B4" w:rsidRPr="008049D2">
        <w:rPr>
          <w:sz w:val="22"/>
          <w:szCs w:val="22"/>
          <w:lang w:val="en-GB"/>
        </w:rPr>
        <w:t xml:space="preserve"> of the financial product</w:t>
      </w:r>
      <w:r w:rsidR="00B06F65" w:rsidRPr="008049D2">
        <w:rPr>
          <w:sz w:val="22"/>
          <w:szCs w:val="22"/>
          <w:lang w:val="en-GB"/>
        </w:rPr>
        <w:t xml:space="preserve"> </w:t>
      </w:r>
    </w:p>
    <w:p w14:paraId="6B54311E" w14:textId="77777777" w:rsidR="00690CFA" w:rsidRDefault="009A53D6" w:rsidP="00F84508">
      <w:pPr>
        <w:spacing w:after="200" w:line="276" w:lineRule="auto"/>
        <w:jc w:val="both"/>
        <w:rPr>
          <w:sz w:val="22"/>
          <w:szCs w:val="22"/>
          <w:lang w:val="en-GB"/>
        </w:rPr>
      </w:pPr>
      <w:bookmarkStart w:id="6" w:name="_Hlk65771064"/>
      <w:r w:rsidRPr="001D7D69">
        <w:rPr>
          <w:rFonts w:eastAsia="Calibri" w:cstheme="minorHAnsi"/>
          <w:bCs/>
          <w:sz w:val="22"/>
          <w:szCs w:val="22"/>
        </w:rPr>
        <w:t>Blue Earth Capital AG</w:t>
      </w:r>
      <w:r w:rsidR="00BE7D83" w:rsidRPr="001D7D69">
        <w:rPr>
          <w:sz w:val="22"/>
          <w:szCs w:val="22"/>
          <w:lang w:val="en-GB"/>
        </w:rPr>
        <w:t xml:space="preserve"> acts in the capacity as Adviser to the Manager.</w:t>
      </w:r>
      <w:r w:rsidR="00BE7D83" w:rsidRPr="00BE7D83">
        <w:rPr>
          <w:sz w:val="22"/>
          <w:szCs w:val="22"/>
          <w:lang w:val="en-GB"/>
        </w:rPr>
        <w:t xml:space="preserve"> The information herein from the Manager is based on the consultation, information and recommendations received from the Adviser.</w:t>
      </w:r>
      <w:r w:rsidR="00BE7D83">
        <w:rPr>
          <w:sz w:val="22"/>
          <w:szCs w:val="22"/>
          <w:lang w:val="en-GB"/>
        </w:rPr>
        <w:t xml:space="preserve"> </w:t>
      </w:r>
      <w:bookmarkEnd w:id="6"/>
    </w:p>
    <w:p w14:paraId="1E1936BC" w14:textId="52365C2F" w:rsidR="00AD3540" w:rsidRPr="00AD3540" w:rsidRDefault="003F31EB" w:rsidP="00F84508">
      <w:pPr>
        <w:spacing w:after="200" w:line="276" w:lineRule="auto"/>
        <w:jc w:val="both"/>
        <w:rPr>
          <w:sz w:val="22"/>
          <w:szCs w:val="22"/>
          <w:lang w:val="en-GB"/>
        </w:rPr>
      </w:pPr>
      <w:r w:rsidRPr="003F31EB">
        <w:rPr>
          <w:sz w:val="22"/>
          <w:szCs w:val="22"/>
          <w:lang w:val="en-GB"/>
        </w:rPr>
        <w:lastRenderedPageBreak/>
        <w:t xml:space="preserve">The sustainable investment objective of the Fund is to contribute to activities that try to accelerate the net zero transition, improve society’s resilience to climate change and promote </w:t>
      </w:r>
      <w:r w:rsidR="00461EA9">
        <w:rPr>
          <w:sz w:val="22"/>
          <w:szCs w:val="22"/>
          <w:lang w:val="en-GB"/>
        </w:rPr>
        <w:t>resource efficiency</w:t>
      </w:r>
      <w:r w:rsidRPr="003F31EB">
        <w:rPr>
          <w:sz w:val="22"/>
          <w:szCs w:val="22"/>
          <w:lang w:val="en-GB"/>
        </w:rPr>
        <w:t xml:space="preserve">. </w:t>
      </w:r>
      <w:r w:rsidR="00AD3540" w:rsidRPr="00AD3540">
        <w:rPr>
          <w:sz w:val="22"/>
          <w:szCs w:val="22"/>
          <w:lang w:val="en-GB"/>
        </w:rPr>
        <w:t>The Manager</w:t>
      </w:r>
      <w:r w:rsidR="00BE7D83">
        <w:rPr>
          <w:sz w:val="22"/>
          <w:szCs w:val="22"/>
          <w:lang w:val="en-GB"/>
        </w:rPr>
        <w:t xml:space="preserve"> </w:t>
      </w:r>
      <w:r w:rsidR="00AD3540" w:rsidRPr="00AD3540">
        <w:rPr>
          <w:sz w:val="22"/>
          <w:szCs w:val="22"/>
          <w:lang w:val="en-GB"/>
        </w:rPr>
        <w:t>is committed to investing in a responsible way by actively integrating environmental, social and governance (“</w:t>
      </w:r>
      <w:r w:rsidR="00AD3540" w:rsidRPr="009A1126">
        <w:rPr>
          <w:b/>
          <w:bCs/>
          <w:sz w:val="22"/>
          <w:szCs w:val="22"/>
          <w:lang w:val="en-GB"/>
        </w:rPr>
        <w:t>ESG</w:t>
      </w:r>
      <w:r w:rsidR="00AD3540" w:rsidRPr="00AD3540">
        <w:rPr>
          <w:sz w:val="22"/>
          <w:szCs w:val="22"/>
          <w:lang w:val="en-GB"/>
        </w:rPr>
        <w:t>”) considerations in its investment selection and ongoing monitoring process. By integrating ESG factors into the investment process, the Manager aims at:</w:t>
      </w:r>
    </w:p>
    <w:p w14:paraId="4855851E" w14:textId="360F64E9" w:rsidR="00AD3540" w:rsidRPr="00AD3540" w:rsidRDefault="00AD3540" w:rsidP="00F84508">
      <w:pPr>
        <w:pStyle w:val="ListParagraph"/>
        <w:spacing w:after="200" w:line="276" w:lineRule="auto"/>
        <w:jc w:val="both"/>
        <w:rPr>
          <w:sz w:val="22"/>
          <w:szCs w:val="22"/>
          <w:lang w:val="en-GB"/>
        </w:rPr>
      </w:pPr>
      <w:r w:rsidRPr="00AD3540">
        <w:rPr>
          <w:sz w:val="22"/>
          <w:szCs w:val="22"/>
          <w:lang w:val="en-GB"/>
        </w:rPr>
        <w:t>(</w:t>
      </w:r>
      <w:proofErr w:type="spellStart"/>
      <w:r w:rsidRPr="00AD3540">
        <w:rPr>
          <w:sz w:val="22"/>
          <w:szCs w:val="22"/>
          <w:lang w:val="en-GB"/>
        </w:rPr>
        <w:t>i</w:t>
      </w:r>
      <w:proofErr w:type="spellEnd"/>
      <w:r w:rsidRPr="00AD3540">
        <w:rPr>
          <w:sz w:val="22"/>
          <w:szCs w:val="22"/>
          <w:lang w:val="en-GB"/>
        </w:rPr>
        <w:t>)</w:t>
      </w:r>
      <w:r w:rsidRPr="00AD3540">
        <w:rPr>
          <w:sz w:val="22"/>
          <w:szCs w:val="22"/>
          <w:lang w:val="en-GB"/>
        </w:rPr>
        <w:tab/>
        <w:t>enhancing investment returns and protect value for the Fund</w:t>
      </w:r>
      <w:r w:rsidR="009A1126">
        <w:rPr>
          <w:sz w:val="22"/>
          <w:szCs w:val="22"/>
          <w:lang w:val="en-GB"/>
        </w:rPr>
        <w:t>;</w:t>
      </w:r>
      <w:r w:rsidRPr="00AD3540">
        <w:rPr>
          <w:sz w:val="22"/>
          <w:szCs w:val="22"/>
          <w:lang w:val="en-GB"/>
        </w:rPr>
        <w:t xml:space="preserve"> and </w:t>
      </w:r>
    </w:p>
    <w:p w14:paraId="38855714" w14:textId="25784BA1" w:rsidR="00CC2DA9" w:rsidRDefault="00AD3540" w:rsidP="001178F9">
      <w:pPr>
        <w:pStyle w:val="ListParagraph"/>
        <w:spacing w:after="200" w:line="276" w:lineRule="auto"/>
        <w:ind w:left="1440" w:hanging="720"/>
        <w:jc w:val="both"/>
        <w:rPr>
          <w:sz w:val="22"/>
          <w:szCs w:val="22"/>
          <w:lang w:val="en-GB"/>
        </w:rPr>
      </w:pPr>
      <w:r w:rsidRPr="00AD3540">
        <w:rPr>
          <w:sz w:val="22"/>
          <w:szCs w:val="22"/>
          <w:lang w:val="en-GB"/>
        </w:rPr>
        <w:t>(ii)</w:t>
      </w:r>
      <w:r w:rsidRPr="00AD3540">
        <w:rPr>
          <w:sz w:val="22"/>
          <w:szCs w:val="22"/>
          <w:lang w:val="en-GB"/>
        </w:rPr>
        <w:tab/>
        <w:t>ensuring that the companies and assets in which the Fund invests ideally benefit, investors, the environment</w:t>
      </w:r>
      <w:r w:rsidR="00B17C48">
        <w:rPr>
          <w:sz w:val="22"/>
          <w:szCs w:val="22"/>
          <w:lang w:val="en-GB"/>
        </w:rPr>
        <w:t xml:space="preserve"> and society</w:t>
      </w:r>
      <w:r w:rsidR="009A1126">
        <w:rPr>
          <w:sz w:val="22"/>
          <w:szCs w:val="22"/>
          <w:lang w:val="en-GB"/>
        </w:rPr>
        <w:t>.</w:t>
      </w:r>
    </w:p>
    <w:p w14:paraId="1E4F3B39" w14:textId="275461D1" w:rsidR="00FC3788" w:rsidRDefault="00FC3788" w:rsidP="00F84508">
      <w:pPr>
        <w:pStyle w:val="ListParagraph"/>
        <w:spacing w:after="200" w:line="276" w:lineRule="auto"/>
        <w:jc w:val="both"/>
        <w:rPr>
          <w:sz w:val="22"/>
          <w:szCs w:val="22"/>
          <w:lang w:val="en-GB"/>
        </w:rPr>
      </w:pPr>
    </w:p>
    <w:p w14:paraId="029D62B3" w14:textId="24078E37" w:rsidR="00B06F65" w:rsidRPr="008049D2" w:rsidRDefault="009312B4" w:rsidP="006C4130">
      <w:pPr>
        <w:pStyle w:val="Heading1"/>
        <w:numPr>
          <w:ilvl w:val="0"/>
          <w:numId w:val="26"/>
        </w:numPr>
        <w:ind w:left="709"/>
        <w:rPr>
          <w:sz w:val="22"/>
          <w:szCs w:val="22"/>
          <w:lang w:val="en-GB"/>
        </w:rPr>
      </w:pPr>
      <w:r w:rsidRPr="008049D2">
        <w:rPr>
          <w:sz w:val="22"/>
          <w:szCs w:val="22"/>
          <w:lang w:val="en-GB"/>
        </w:rPr>
        <w:t>Investment strategy</w:t>
      </w:r>
    </w:p>
    <w:p w14:paraId="5CF7E2BE" w14:textId="070F85F0" w:rsidR="001178F9" w:rsidRPr="001178F9" w:rsidRDefault="001178F9" w:rsidP="001178F9">
      <w:pPr>
        <w:spacing w:after="200" w:line="276" w:lineRule="auto"/>
        <w:jc w:val="both"/>
        <w:rPr>
          <w:sz w:val="22"/>
          <w:szCs w:val="22"/>
          <w:lang w:val="en-GB"/>
        </w:rPr>
      </w:pPr>
      <w:r w:rsidRPr="001178F9">
        <w:rPr>
          <w:sz w:val="22"/>
          <w:szCs w:val="22"/>
          <w:lang w:val="en-GB"/>
        </w:rPr>
        <w:t xml:space="preserve">The Manager seeks to generate investment returns in a way that complies with relevant local and international laws, including adherence to international protocols on banned products, and potential for negative impacts on society or the environment. The investment approach includes a best-in-class impact assessment and an analysis of </w:t>
      </w:r>
      <w:r w:rsidR="009A1126">
        <w:rPr>
          <w:sz w:val="22"/>
          <w:szCs w:val="22"/>
          <w:lang w:val="en-GB"/>
        </w:rPr>
        <w:t>I</w:t>
      </w:r>
      <w:r w:rsidRPr="001178F9">
        <w:rPr>
          <w:sz w:val="22"/>
          <w:szCs w:val="22"/>
          <w:lang w:val="en-GB"/>
        </w:rPr>
        <w:t xml:space="preserve">nvestments against </w:t>
      </w:r>
      <w:r w:rsidR="00474753">
        <w:rPr>
          <w:sz w:val="22"/>
          <w:szCs w:val="22"/>
          <w:lang w:val="en-GB"/>
        </w:rPr>
        <w:t>the United Nations Sustainable Development Goals (“</w:t>
      </w:r>
      <w:r w:rsidRPr="00474753">
        <w:rPr>
          <w:b/>
          <w:bCs/>
          <w:sz w:val="22"/>
          <w:szCs w:val="22"/>
          <w:lang w:val="en-GB"/>
        </w:rPr>
        <w:t>SDGs</w:t>
      </w:r>
      <w:r w:rsidR="00474753">
        <w:rPr>
          <w:sz w:val="22"/>
          <w:szCs w:val="22"/>
          <w:lang w:val="en-GB"/>
        </w:rPr>
        <w:t>”)</w:t>
      </w:r>
      <w:r w:rsidRPr="001178F9">
        <w:rPr>
          <w:sz w:val="22"/>
          <w:szCs w:val="22"/>
          <w:lang w:val="en-GB"/>
        </w:rPr>
        <w:t>.</w:t>
      </w:r>
    </w:p>
    <w:p w14:paraId="3E3559A6" w14:textId="7C95FF82" w:rsidR="001178F9" w:rsidRDefault="001178F9" w:rsidP="001178F9">
      <w:pPr>
        <w:spacing w:after="200" w:line="276" w:lineRule="auto"/>
        <w:jc w:val="both"/>
        <w:rPr>
          <w:sz w:val="22"/>
          <w:szCs w:val="22"/>
          <w:lang w:val="en-GB"/>
        </w:rPr>
      </w:pPr>
      <w:r w:rsidRPr="001178F9">
        <w:rPr>
          <w:sz w:val="22"/>
          <w:szCs w:val="22"/>
          <w:lang w:val="en-GB"/>
        </w:rPr>
        <w:t xml:space="preserve">The Manager follows dedicated processes in deciding from a responsible investment perspective whether it is appropriate to invest in a company or other asset. The Manager applies specific tools and processes to ensure a thorough integration of ESG factors. Furthermore, the Manager monitors the </w:t>
      </w:r>
      <w:r w:rsidR="000E5FF1">
        <w:rPr>
          <w:sz w:val="22"/>
          <w:szCs w:val="22"/>
          <w:lang w:val="en-GB"/>
        </w:rPr>
        <w:t xml:space="preserve">Sustainable </w:t>
      </w:r>
      <w:r w:rsidRPr="001178F9">
        <w:rPr>
          <w:sz w:val="22"/>
          <w:szCs w:val="22"/>
          <w:lang w:val="en-GB"/>
        </w:rPr>
        <w:t xml:space="preserve">Investments on an ongoing basis to ensure any potential ESG issues are quickly identified. </w:t>
      </w:r>
    </w:p>
    <w:p w14:paraId="33E6B435" w14:textId="27B0A4DB" w:rsidR="001178F9" w:rsidRPr="001178F9" w:rsidRDefault="001178F9" w:rsidP="001178F9">
      <w:pPr>
        <w:spacing w:after="200" w:line="276" w:lineRule="auto"/>
        <w:jc w:val="both"/>
        <w:rPr>
          <w:sz w:val="22"/>
          <w:szCs w:val="22"/>
          <w:lang w:val="en-GB"/>
        </w:rPr>
      </w:pPr>
      <w:r w:rsidRPr="001178F9">
        <w:rPr>
          <w:sz w:val="22"/>
          <w:szCs w:val="22"/>
          <w:lang w:val="en-GB"/>
        </w:rPr>
        <w:t>The Manager actively includes impact and ESG criteria in its investment process. Investment themes are defined in alignment with the environmental</w:t>
      </w:r>
      <w:r w:rsidR="00642256">
        <w:rPr>
          <w:sz w:val="22"/>
          <w:szCs w:val="22"/>
          <w:lang w:val="en-GB"/>
        </w:rPr>
        <w:t xml:space="preserve">ly sustainable investment objective of the </w:t>
      </w:r>
      <w:r w:rsidR="009A1126">
        <w:rPr>
          <w:sz w:val="22"/>
          <w:szCs w:val="22"/>
          <w:lang w:val="en-GB"/>
        </w:rPr>
        <w:t>F</w:t>
      </w:r>
      <w:r w:rsidRPr="001178F9">
        <w:rPr>
          <w:sz w:val="22"/>
          <w:szCs w:val="22"/>
          <w:lang w:val="en-GB"/>
        </w:rPr>
        <w:t>und. During the deal sourcing, business models are identified which are attractive both from a commercial and from an impact point of view. During the due diligence process, impact is assessed based on a best-in-class impact methodology. A logic model is developed linking the investment to potential outputs, outcomes and ultimately SDG/</w:t>
      </w:r>
      <w:r w:rsidR="000C7B9B" w:rsidRPr="000C7B9B">
        <w:rPr>
          <w:sz w:val="22"/>
          <w:szCs w:val="22"/>
          <w:lang w:val="en-GB"/>
        </w:rPr>
        <w:t xml:space="preserve"> </w:t>
      </w:r>
      <w:r w:rsidR="000C7B9B" w:rsidRPr="000429F9">
        <w:rPr>
          <w:sz w:val="22"/>
          <w:szCs w:val="22"/>
          <w:lang w:val="en-GB"/>
        </w:rPr>
        <w:t>Sustainable Development Target (</w:t>
      </w:r>
      <w:r w:rsidR="000C7B9B">
        <w:rPr>
          <w:sz w:val="22"/>
          <w:szCs w:val="22"/>
          <w:lang w:val="en-GB"/>
        </w:rPr>
        <w:t>“</w:t>
      </w:r>
      <w:r w:rsidR="000C7B9B" w:rsidRPr="00B971E6">
        <w:rPr>
          <w:b/>
          <w:bCs/>
          <w:sz w:val="22"/>
          <w:szCs w:val="22"/>
          <w:lang w:val="en-GB"/>
        </w:rPr>
        <w:t>SDT</w:t>
      </w:r>
      <w:r w:rsidR="000C7B9B">
        <w:rPr>
          <w:sz w:val="22"/>
          <w:szCs w:val="22"/>
          <w:lang w:val="en-GB"/>
        </w:rPr>
        <w:t>”</w:t>
      </w:r>
      <w:r w:rsidR="000C7B9B" w:rsidRPr="000429F9">
        <w:rPr>
          <w:sz w:val="22"/>
          <w:szCs w:val="22"/>
          <w:lang w:val="en-GB"/>
        </w:rPr>
        <w:t>)</w:t>
      </w:r>
      <w:r w:rsidRPr="001178F9">
        <w:rPr>
          <w:sz w:val="22"/>
          <w:szCs w:val="22"/>
          <w:lang w:val="en-GB"/>
        </w:rPr>
        <w:t xml:space="preserve"> impacts. This is used as the basis to set key impact targets. </w:t>
      </w:r>
      <w:r w:rsidR="00C043EA">
        <w:rPr>
          <w:sz w:val="22"/>
          <w:szCs w:val="22"/>
          <w:lang w:val="en-GB"/>
        </w:rPr>
        <w:t xml:space="preserve">An ESG due diligence </w:t>
      </w:r>
      <w:r w:rsidRPr="001178F9">
        <w:rPr>
          <w:sz w:val="22"/>
          <w:szCs w:val="22"/>
          <w:lang w:val="en-GB"/>
        </w:rPr>
        <w:t>will be completed to identify and mitigate material Sustainability Risks</w:t>
      </w:r>
      <w:r>
        <w:rPr>
          <w:rStyle w:val="FootnoteReference"/>
          <w:sz w:val="22"/>
          <w:szCs w:val="22"/>
          <w:lang w:val="en-GB"/>
        </w:rPr>
        <w:footnoteReference w:id="3"/>
      </w:r>
      <w:r w:rsidRPr="001178F9">
        <w:rPr>
          <w:sz w:val="22"/>
          <w:szCs w:val="22"/>
          <w:lang w:val="en-GB"/>
        </w:rPr>
        <w:t xml:space="preserve"> (as defined below). Both impact assessment and ESG analysis are presented to and discussed in the investment committee.</w:t>
      </w:r>
    </w:p>
    <w:p w14:paraId="67CD119F" w14:textId="6A298A26" w:rsidR="001178F9" w:rsidRPr="001178F9" w:rsidRDefault="001178F9" w:rsidP="001178F9">
      <w:pPr>
        <w:spacing w:after="200" w:line="276" w:lineRule="auto"/>
        <w:jc w:val="both"/>
        <w:rPr>
          <w:sz w:val="22"/>
          <w:szCs w:val="22"/>
          <w:lang w:val="en-GB"/>
        </w:rPr>
      </w:pPr>
      <w:r w:rsidRPr="001178F9">
        <w:rPr>
          <w:sz w:val="22"/>
          <w:szCs w:val="22"/>
          <w:lang w:val="en-GB"/>
        </w:rPr>
        <w:t xml:space="preserve">When potentially material Sustainability Risks are identified through the </w:t>
      </w:r>
      <w:r w:rsidR="00A06A1A">
        <w:rPr>
          <w:sz w:val="22"/>
          <w:szCs w:val="22"/>
          <w:lang w:val="en-GB"/>
        </w:rPr>
        <w:t>ESG due diligence</w:t>
      </w:r>
      <w:r w:rsidRPr="001178F9">
        <w:rPr>
          <w:sz w:val="22"/>
          <w:szCs w:val="22"/>
          <w:lang w:val="en-GB"/>
        </w:rPr>
        <w:t xml:space="preserve">, the investment teams work together to deepen their understanding of material Sustainability Risks through conversations with </w:t>
      </w:r>
      <w:r w:rsidR="00DD7492">
        <w:rPr>
          <w:sz w:val="22"/>
          <w:szCs w:val="22"/>
          <w:lang w:val="en-GB"/>
        </w:rPr>
        <w:t>relevant stakeholders</w:t>
      </w:r>
      <w:r w:rsidRPr="001178F9">
        <w:rPr>
          <w:sz w:val="22"/>
          <w:szCs w:val="22"/>
          <w:lang w:val="en-GB"/>
        </w:rPr>
        <w:t xml:space="preserve">. The investment teams monitor the management </w:t>
      </w:r>
      <w:r w:rsidRPr="001178F9">
        <w:rPr>
          <w:sz w:val="22"/>
          <w:szCs w:val="22"/>
          <w:lang w:val="en-GB"/>
        </w:rPr>
        <w:lastRenderedPageBreak/>
        <w:t xml:space="preserve">of Sustainability Risks during ownership and engage as needed, subject to the </w:t>
      </w:r>
      <w:r w:rsidR="00BE7D83">
        <w:rPr>
          <w:sz w:val="22"/>
          <w:szCs w:val="22"/>
          <w:lang w:val="en-GB"/>
        </w:rPr>
        <w:t>Fund</w:t>
      </w:r>
      <w:r w:rsidR="00BE7D83" w:rsidRPr="001178F9">
        <w:rPr>
          <w:sz w:val="22"/>
          <w:szCs w:val="22"/>
          <w:lang w:val="en-GB"/>
        </w:rPr>
        <w:t xml:space="preserve">’s </w:t>
      </w:r>
      <w:r w:rsidRPr="001178F9">
        <w:rPr>
          <w:sz w:val="22"/>
          <w:szCs w:val="22"/>
          <w:lang w:val="en-GB"/>
        </w:rPr>
        <w:t>role</w:t>
      </w:r>
      <w:r w:rsidR="00BE7D83">
        <w:rPr>
          <w:sz w:val="22"/>
          <w:szCs w:val="22"/>
          <w:lang w:val="en-GB"/>
        </w:rPr>
        <w:t xml:space="preserve"> as investor</w:t>
      </w:r>
      <w:r w:rsidRPr="001178F9">
        <w:rPr>
          <w:sz w:val="22"/>
          <w:szCs w:val="22"/>
          <w:lang w:val="en-GB"/>
        </w:rPr>
        <w:t xml:space="preserve">. </w:t>
      </w:r>
    </w:p>
    <w:p w14:paraId="77C9666A" w14:textId="7463670D" w:rsidR="00B62810" w:rsidRPr="00B62810" w:rsidRDefault="00B62810" w:rsidP="00B62810">
      <w:pPr>
        <w:spacing w:after="200" w:line="276" w:lineRule="auto"/>
        <w:jc w:val="both"/>
        <w:rPr>
          <w:sz w:val="22"/>
          <w:szCs w:val="22"/>
          <w:lang w:val="en-GB"/>
        </w:rPr>
      </w:pPr>
      <w:r w:rsidRPr="00B62810">
        <w:rPr>
          <w:sz w:val="22"/>
          <w:szCs w:val="22"/>
          <w:lang w:val="en-GB"/>
        </w:rPr>
        <w:t xml:space="preserve">The Fund has a private market strategy aiming at both generating positive financial return and at achieving positive </w:t>
      </w:r>
      <w:r w:rsidR="00C86708">
        <w:rPr>
          <w:sz w:val="22"/>
          <w:szCs w:val="22"/>
          <w:lang w:val="en-GB"/>
        </w:rPr>
        <w:t xml:space="preserve">climate </w:t>
      </w:r>
      <w:r w:rsidR="00A02295">
        <w:rPr>
          <w:sz w:val="22"/>
          <w:szCs w:val="22"/>
          <w:lang w:val="en-GB"/>
        </w:rPr>
        <w:t>impact</w:t>
      </w:r>
      <w:r w:rsidRPr="00B62810">
        <w:rPr>
          <w:sz w:val="22"/>
          <w:szCs w:val="22"/>
          <w:lang w:val="en-GB"/>
        </w:rPr>
        <w:t xml:space="preserve">. To achieve these objectives, the Fund integrates impact considerations throughout the </w:t>
      </w:r>
      <w:r w:rsidR="00574AD3">
        <w:rPr>
          <w:sz w:val="22"/>
          <w:szCs w:val="22"/>
          <w:lang w:val="en-GB"/>
        </w:rPr>
        <w:t>Sustainable I</w:t>
      </w:r>
      <w:r w:rsidRPr="00B62810">
        <w:rPr>
          <w:sz w:val="22"/>
          <w:szCs w:val="22"/>
          <w:lang w:val="en-GB"/>
        </w:rPr>
        <w:t>nvestment lifecycle, including a best-in-class impact assessment and reporting methodology.</w:t>
      </w:r>
    </w:p>
    <w:p w14:paraId="13F4FB36" w14:textId="02BD30C6" w:rsidR="00B62810" w:rsidRPr="00B62810" w:rsidRDefault="00B62810" w:rsidP="00B62810">
      <w:pPr>
        <w:spacing w:after="200" w:line="276" w:lineRule="auto"/>
        <w:jc w:val="both"/>
        <w:rPr>
          <w:sz w:val="22"/>
          <w:szCs w:val="22"/>
          <w:lang w:val="en-GB"/>
        </w:rPr>
      </w:pPr>
      <w:r w:rsidRPr="00B62810">
        <w:rPr>
          <w:sz w:val="22"/>
          <w:szCs w:val="22"/>
          <w:lang w:val="en-GB"/>
        </w:rPr>
        <w:t xml:space="preserve">Target companies and assets are selected only after thorough impact assessment, during both deal sourcing and due diligence for their potential to generate positive </w:t>
      </w:r>
      <w:r w:rsidR="00C86708">
        <w:rPr>
          <w:sz w:val="22"/>
          <w:szCs w:val="22"/>
          <w:lang w:val="en-GB"/>
        </w:rPr>
        <w:t xml:space="preserve">climate </w:t>
      </w:r>
      <w:r w:rsidR="007F52C5">
        <w:rPr>
          <w:sz w:val="22"/>
          <w:szCs w:val="22"/>
          <w:lang w:val="en-GB"/>
        </w:rPr>
        <w:t>impact</w:t>
      </w:r>
      <w:r w:rsidRPr="00B62810">
        <w:rPr>
          <w:sz w:val="22"/>
          <w:szCs w:val="22"/>
          <w:lang w:val="en-GB"/>
        </w:rPr>
        <w:t xml:space="preserve">. The results of impact assessments are considered by the Fund as one of the key factors in deciding whether or not to invest. </w:t>
      </w:r>
    </w:p>
    <w:p w14:paraId="577644B9" w14:textId="2D5233AB" w:rsidR="00B62810" w:rsidRPr="00B62810" w:rsidRDefault="00B62810" w:rsidP="00B62810">
      <w:pPr>
        <w:spacing w:after="200" w:line="276" w:lineRule="auto"/>
        <w:jc w:val="both"/>
        <w:rPr>
          <w:sz w:val="22"/>
          <w:szCs w:val="22"/>
          <w:lang w:val="en-GB"/>
        </w:rPr>
      </w:pPr>
      <w:r w:rsidRPr="00B62810">
        <w:rPr>
          <w:sz w:val="22"/>
          <w:szCs w:val="22"/>
          <w:lang w:val="en-GB"/>
        </w:rPr>
        <w:t xml:space="preserve">Impact-related metrics are monitored throughout the ownership and reported in annual impact reports. Upon exit, thorough consideration is given on how the impact mission can be protected under a new ownership structure. The Fund will integrate learnings on how to create and sustain impact into new and existing </w:t>
      </w:r>
      <w:r w:rsidR="009841A1">
        <w:rPr>
          <w:sz w:val="22"/>
          <w:szCs w:val="22"/>
          <w:lang w:val="en-GB"/>
        </w:rPr>
        <w:t>Sustainable</w:t>
      </w:r>
      <w:r w:rsidR="009841A1" w:rsidRPr="00B62810">
        <w:rPr>
          <w:sz w:val="22"/>
          <w:szCs w:val="22"/>
          <w:lang w:val="en-GB"/>
        </w:rPr>
        <w:t xml:space="preserve"> </w:t>
      </w:r>
      <w:r w:rsidRPr="00B62810">
        <w:rPr>
          <w:sz w:val="22"/>
          <w:szCs w:val="22"/>
          <w:lang w:val="en-GB"/>
        </w:rPr>
        <w:t>Investments.</w:t>
      </w:r>
    </w:p>
    <w:p w14:paraId="3893332D" w14:textId="0B8130A4" w:rsidR="00B62810" w:rsidRPr="00B62810" w:rsidRDefault="00B62810" w:rsidP="00B62810">
      <w:pPr>
        <w:spacing w:after="200" w:line="276" w:lineRule="auto"/>
        <w:jc w:val="both"/>
        <w:rPr>
          <w:sz w:val="22"/>
          <w:szCs w:val="22"/>
          <w:lang w:val="en-GB"/>
        </w:rPr>
      </w:pPr>
      <w:r w:rsidRPr="00B62810">
        <w:rPr>
          <w:sz w:val="22"/>
          <w:szCs w:val="22"/>
          <w:lang w:val="en-GB"/>
        </w:rPr>
        <w:t xml:space="preserve">The Manager invests in the growth of attractive enterprises with high development potential and a measurable and scalable </w:t>
      </w:r>
      <w:r w:rsidR="00C86708">
        <w:rPr>
          <w:sz w:val="22"/>
          <w:szCs w:val="22"/>
          <w:lang w:val="en-GB"/>
        </w:rPr>
        <w:t>climate</w:t>
      </w:r>
      <w:r w:rsidR="00C86708" w:rsidRPr="00B62810">
        <w:rPr>
          <w:sz w:val="22"/>
          <w:szCs w:val="22"/>
          <w:lang w:val="en-GB"/>
        </w:rPr>
        <w:t xml:space="preserve"> </w:t>
      </w:r>
      <w:r w:rsidRPr="00B62810">
        <w:rPr>
          <w:sz w:val="22"/>
          <w:szCs w:val="22"/>
          <w:lang w:val="en-GB"/>
        </w:rPr>
        <w:t xml:space="preserve">impact. The Manager flexibly invests through equity structures. </w:t>
      </w:r>
      <w:r w:rsidR="007675D8">
        <w:rPr>
          <w:sz w:val="22"/>
          <w:szCs w:val="22"/>
          <w:lang w:val="en-GB"/>
        </w:rPr>
        <w:t>I</w:t>
      </w:r>
      <w:r w:rsidRPr="00B62810">
        <w:rPr>
          <w:sz w:val="22"/>
          <w:szCs w:val="22"/>
          <w:lang w:val="en-GB"/>
        </w:rPr>
        <w:t xml:space="preserve">t works closely with the respective management teams throughout the life of the </w:t>
      </w:r>
      <w:r w:rsidR="004D2D6F">
        <w:rPr>
          <w:sz w:val="22"/>
          <w:szCs w:val="22"/>
          <w:lang w:val="en-GB"/>
        </w:rPr>
        <w:t xml:space="preserve">Sustainable </w:t>
      </w:r>
      <w:r w:rsidRPr="00B62810">
        <w:rPr>
          <w:sz w:val="22"/>
          <w:szCs w:val="22"/>
          <w:lang w:val="en-GB"/>
        </w:rPr>
        <w:t>Investments to achieve the growth, value and impact creation targets.</w:t>
      </w:r>
    </w:p>
    <w:p w14:paraId="10AC1D83" w14:textId="3C43D4C9" w:rsidR="00B62810" w:rsidRPr="00B62810" w:rsidRDefault="00476417" w:rsidP="00B62810">
      <w:pPr>
        <w:spacing w:after="200" w:line="276" w:lineRule="auto"/>
        <w:jc w:val="both"/>
        <w:rPr>
          <w:sz w:val="22"/>
          <w:szCs w:val="22"/>
          <w:lang w:val="en-GB"/>
        </w:rPr>
      </w:pPr>
      <w:r w:rsidRPr="00081FAF">
        <w:rPr>
          <w:rFonts w:eastAsia="PMingLiU" w:cstheme="minorHAnsi"/>
          <w:sz w:val="22"/>
          <w:szCs w:val="22"/>
        </w:rPr>
        <w:t xml:space="preserve">The Fund will </w:t>
      </w:r>
      <w:r>
        <w:rPr>
          <w:rFonts w:eastAsia="PMingLiU" w:cstheme="minorHAnsi"/>
          <w:sz w:val="22"/>
          <w:szCs w:val="22"/>
        </w:rPr>
        <w:t>invest in the following key themes to deliver meaningful climate impact: energy transition ecosystem; buildings &amp; mobility; climate intelligence; production &amp; consumption; and food &amp; agriculture</w:t>
      </w:r>
      <w:r w:rsidRPr="00081FAF">
        <w:rPr>
          <w:rFonts w:eastAsia="PMingLiU" w:cstheme="minorHAnsi"/>
          <w:sz w:val="22"/>
          <w:szCs w:val="22"/>
        </w:rPr>
        <w:t>.</w:t>
      </w:r>
      <w:r>
        <w:rPr>
          <w:rFonts w:eastAsia="PMingLiU" w:cstheme="minorHAnsi"/>
          <w:sz w:val="22"/>
          <w:szCs w:val="22"/>
        </w:rPr>
        <w:t xml:space="preserve"> </w:t>
      </w:r>
      <w:r w:rsidR="00B62810" w:rsidRPr="00B62810">
        <w:rPr>
          <w:sz w:val="22"/>
          <w:szCs w:val="22"/>
          <w:lang w:val="en-GB"/>
        </w:rPr>
        <w:t xml:space="preserve">Investment strategies are defined for each priority </w:t>
      </w:r>
      <w:r w:rsidR="00137D72">
        <w:rPr>
          <w:sz w:val="22"/>
          <w:szCs w:val="22"/>
          <w:lang w:val="en-GB"/>
        </w:rPr>
        <w:t>theme</w:t>
      </w:r>
      <w:r w:rsidR="00137D72" w:rsidRPr="00B62810">
        <w:rPr>
          <w:sz w:val="22"/>
          <w:szCs w:val="22"/>
          <w:lang w:val="en-GB"/>
        </w:rPr>
        <w:t xml:space="preserve"> </w:t>
      </w:r>
      <w:proofErr w:type="gramStart"/>
      <w:r w:rsidR="00B62810" w:rsidRPr="00B62810">
        <w:rPr>
          <w:sz w:val="22"/>
          <w:szCs w:val="22"/>
          <w:lang w:val="en-GB"/>
        </w:rPr>
        <w:t>on the basis of</w:t>
      </w:r>
      <w:proofErr w:type="gramEnd"/>
      <w:r w:rsidR="00B62810" w:rsidRPr="00B62810">
        <w:rPr>
          <w:sz w:val="22"/>
          <w:szCs w:val="22"/>
          <w:lang w:val="en-GB"/>
        </w:rPr>
        <w:t xml:space="preserve"> the long-term viability of business models, growth/value-creation opportunities, as well as scale and depth of impact. </w:t>
      </w:r>
    </w:p>
    <w:p w14:paraId="75BE027D" w14:textId="59FA877A" w:rsidR="001178F9" w:rsidRPr="00585CEC" w:rsidRDefault="00B62810" w:rsidP="00B62810">
      <w:pPr>
        <w:spacing w:after="200" w:line="276" w:lineRule="auto"/>
        <w:jc w:val="both"/>
        <w:rPr>
          <w:sz w:val="22"/>
          <w:szCs w:val="22"/>
          <w:lang w:val="en-GB"/>
        </w:rPr>
      </w:pPr>
      <w:r w:rsidRPr="00B62810">
        <w:rPr>
          <w:sz w:val="22"/>
          <w:szCs w:val="22"/>
          <w:lang w:val="en-GB"/>
        </w:rPr>
        <w:t xml:space="preserve">The Manager operates a comprehensive and sophisticated investment process to identify and invest in the most attractive impact investment opportunities. This process is consistently applied across all investment opportunities, ensuring the assessment and management of any environmental </w:t>
      </w:r>
      <w:r w:rsidR="00127110">
        <w:rPr>
          <w:sz w:val="22"/>
          <w:szCs w:val="22"/>
          <w:lang w:val="en-GB"/>
        </w:rPr>
        <w:t xml:space="preserve">and/or social </w:t>
      </w:r>
      <w:r w:rsidRPr="00B62810">
        <w:rPr>
          <w:sz w:val="22"/>
          <w:szCs w:val="22"/>
          <w:lang w:val="en-GB"/>
        </w:rPr>
        <w:t>impact forms an integral part of the investment process.</w:t>
      </w:r>
    </w:p>
    <w:p w14:paraId="506B9A4E" w14:textId="77777777" w:rsidR="000429F9" w:rsidRPr="00585CEC" w:rsidRDefault="000429F9" w:rsidP="000429F9">
      <w:pPr>
        <w:pStyle w:val="ListParagraph"/>
        <w:numPr>
          <w:ilvl w:val="0"/>
          <w:numId w:val="37"/>
        </w:numPr>
        <w:spacing w:after="200" w:line="276" w:lineRule="auto"/>
        <w:jc w:val="both"/>
        <w:rPr>
          <w:sz w:val="22"/>
          <w:szCs w:val="22"/>
          <w:lang w:val="en-GB"/>
        </w:rPr>
      </w:pPr>
      <w:r w:rsidRPr="00585CEC">
        <w:rPr>
          <w:sz w:val="22"/>
          <w:szCs w:val="22"/>
          <w:lang w:val="en-GB"/>
        </w:rPr>
        <w:t xml:space="preserve">Sourcing </w:t>
      </w:r>
    </w:p>
    <w:p w14:paraId="4B0B7582" w14:textId="249D68AE" w:rsidR="000429F9" w:rsidRDefault="000429F9" w:rsidP="000429F9">
      <w:pPr>
        <w:spacing w:after="200" w:line="276" w:lineRule="auto"/>
        <w:jc w:val="both"/>
        <w:rPr>
          <w:sz w:val="22"/>
          <w:szCs w:val="22"/>
          <w:lang w:val="en-GB"/>
        </w:rPr>
      </w:pPr>
      <w:r w:rsidRPr="00585CEC">
        <w:rPr>
          <w:sz w:val="22"/>
          <w:szCs w:val="22"/>
          <w:lang w:val="en-GB"/>
        </w:rPr>
        <w:t xml:space="preserve">The Manager defines specific impact themes for each </w:t>
      </w:r>
      <w:r w:rsidR="009A649E">
        <w:rPr>
          <w:sz w:val="22"/>
          <w:szCs w:val="22"/>
          <w:lang w:val="en-GB"/>
        </w:rPr>
        <w:t>i</w:t>
      </w:r>
      <w:r w:rsidRPr="00585CEC">
        <w:rPr>
          <w:sz w:val="22"/>
          <w:szCs w:val="22"/>
          <w:lang w:val="en-GB"/>
        </w:rPr>
        <w:t xml:space="preserve">nvestment </w:t>
      </w:r>
      <w:r w:rsidR="009A649E">
        <w:rPr>
          <w:sz w:val="22"/>
          <w:szCs w:val="22"/>
          <w:lang w:val="en-GB"/>
        </w:rPr>
        <w:t>s</w:t>
      </w:r>
      <w:r w:rsidRPr="00585CEC">
        <w:rPr>
          <w:sz w:val="22"/>
          <w:szCs w:val="22"/>
          <w:lang w:val="en-GB"/>
        </w:rPr>
        <w:t xml:space="preserve">trategy, based on the </w:t>
      </w:r>
      <w:r w:rsidR="00245F1E">
        <w:rPr>
          <w:sz w:val="22"/>
          <w:szCs w:val="22"/>
          <w:lang w:val="en-GB"/>
        </w:rPr>
        <w:t>environmental/climate</w:t>
      </w:r>
      <w:r w:rsidR="00245F1E" w:rsidRPr="00585CEC">
        <w:rPr>
          <w:sz w:val="22"/>
          <w:szCs w:val="22"/>
          <w:lang w:val="en-GB"/>
        </w:rPr>
        <w:t xml:space="preserve"> </w:t>
      </w:r>
      <w:r w:rsidRPr="00585CEC">
        <w:rPr>
          <w:sz w:val="22"/>
          <w:szCs w:val="22"/>
          <w:lang w:val="en-GB"/>
        </w:rPr>
        <w:t xml:space="preserve">challenges a specific </w:t>
      </w:r>
      <w:r w:rsidR="009A649E">
        <w:rPr>
          <w:sz w:val="22"/>
          <w:szCs w:val="22"/>
          <w:lang w:val="en-GB"/>
        </w:rPr>
        <w:t>i</w:t>
      </w:r>
      <w:r w:rsidRPr="00585CEC">
        <w:rPr>
          <w:sz w:val="22"/>
          <w:szCs w:val="22"/>
          <w:lang w:val="en-GB"/>
        </w:rPr>
        <w:t xml:space="preserve">nvestment </w:t>
      </w:r>
      <w:r w:rsidR="009A649E">
        <w:rPr>
          <w:sz w:val="22"/>
          <w:szCs w:val="22"/>
          <w:lang w:val="en-GB"/>
        </w:rPr>
        <w:t>s</w:t>
      </w:r>
      <w:r w:rsidRPr="00585CEC">
        <w:rPr>
          <w:sz w:val="22"/>
          <w:szCs w:val="22"/>
          <w:lang w:val="en-GB"/>
        </w:rPr>
        <w:t xml:space="preserve">trategy aims to address. For each investment theme, the Manager proactively sources investment opportunities globally by means </w:t>
      </w:r>
      <w:r w:rsidR="008228BD" w:rsidRPr="00081FAF">
        <w:rPr>
          <w:rFonts w:eastAsia="PMingLiU" w:cstheme="minorHAnsi"/>
          <w:sz w:val="22"/>
          <w:szCs w:val="22"/>
        </w:rPr>
        <w:t>which include: the investment team's network, intermediaries, industry/academic experts, platforms and events and VC and other impact investment managers.</w:t>
      </w:r>
      <w:r w:rsidRPr="00585CEC">
        <w:rPr>
          <w:sz w:val="22"/>
          <w:szCs w:val="22"/>
          <w:lang w:val="en-GB"/>
        </w:rPr>
        <w:t xml:space="preserve"> To benchmark the global investment opportunity set, the Manager identifies those areas with the greatest potential for financial and </w:t>
      </w:r>
      <w:r w:rsidR="00B72931">
        <w:rPr>
          <w:sz w:val="22"/>
          <w:szCs w:val="22"/>
          <w:lang w:val="en-GB"/>
        </w:rPr>
        <w:t>environmental/climate</w:t>
      </w:r>
      <w:r w:rsidR="00B72931" w:rsidRPr="00585CEC">
        <w:rPr>
          <w:sz w:val="22"/>
          <w:szCs w:val="22"/>
          <w:lang w:val="en-GB"/>
        </w:rPr>
        <w:t xml:space="preserve"> </w:t>
      </w:r>
      <w:r w:rsidRPr="00585CEC">
        <w:rPr>
          <w:sz w:val="22"/>
          <w:szCs w:val="22"/>
          <w:lang w:val="en-GB"/>
        </w:rPr>
        <w:t>return in the prevailing market environment and defines the sectors, regions and strategies likely to offer higher investment value and impact relative to other segments. Based on the opportunity set available, the Manager defines the most appropriate investment approach to achieve the targeted outcomes and risk-adjusted returns.</w:t>
      </w:r>
    </w:p>
    <w:p w14:paraId="11A7C788" w14:textId="77777777" w:rsidR="000429F9" w:rsidRPr="00585CEC" w:rsidRDefault="000429F9" w:rsidP="000429F9">
      <w:pPr>
        <w:spacing w:after="200" w:line="276" w:lineRule="auto"/>
        <w:jc w:val="both"/>
        <w:rPr>
          <w:sz w:val="22"/>
          <w:szCs w:val="22"/>
          <w:lang w:val="en-GB"/>
        </w:rPr>
      </w:pPr>
    </w:p>
    <w:p w14:paraId="6C9E74EF" w14:textId="73E8E7A8" w:rsidR="000429F9" w:rsidRPr="00585CEC" w:rsidRDefault="000429F9" w:rsidP="000429F9">
      <w:pPr>
        <w:pStyle w:val="ListParagraph"/>
        <w:numPr>
          <w:ilvl w:val="0"/>
          <w:numId w:val="37"/>
        </w:numPr>
        <w:spacing w:after="200" w:line="276" w:lineRule="auto"/>
        <w:jc w:val="both"/>
        <w:rPr>
          <w:sz w:val="22"/>
          <w:szCs w:val="22"/>
          <w:lang w:val="en-GB"/>
        </w:rPr>
      </w:pPr>
      <w:r w:rsidRPr="00585CEC">
        <w:rPr>
          <w:sz w:val="22"/>
          <w:szCs w:val="22"/>
          <w:lang w:val="en-GB"/>
        </w:rPr>
        <w:lastRenderedPageBreak/>
        <w:t>Due Diligence</w:t>
      </w:r>
    </w:p>
    <w:p w14:paraId="067731F0" w14:textId="77777777" w:rsidR="00B62810" w:rsidRPr="00B62810" w:rsidRDefault="00B62810" w:rsidP="00B62810">
      <w:pPr>
        <w:spacing w:after="200" w:line="276" w:lineRule="auto"/>
        <w:jc w:val="both"/>
        <w:rPr>
          <w:sz w:val="22"/>
          <w:szCs w:val="22"/>
          <w:lang w:val="en-GB"/>
        </w:rPr>
      </w:pPr>
      <w:r w:rsidRPr="00B62810">
        <w:rPr>
          <w:sz w:val="22"/>
          <w:szCs w:val="22"/>
          <w:lang w:val="en-GB"/>
        </w:rPr>
        <w:t xml:space="preserve">During the due diligence process, the Fund undertakes the following steps: </w:t>
      </w:r>
    </w:p>
    <w:p w14:paraId="36A8DD94" w14:textId="4966EBEF" w:rsidR="009B7C34" w:rsidRPr="00267235" w:rsidRDefault="00B62810" w:rsidP="00267235">
      <w:pPr>
        <w:pStyle w:val="ListParagraph"/>
        <w:numPr>
          <w:ilvl w:val="0"/>
          <w:numId w:val="38"/>
        </w:numPr>
        <w:spacing w:after="200" w:line="276" w:lineRule="auto"/>
        <w:jc w:val="both"/>
        <w:rPr>
          <w:sz w:val="22"/>
          <w:szCs w:val="22"/>
          <w:lang w:val="en-GB"/>
        </w:rPr>
      </w:pPr>
      <w:r w:rsidRPr="00B62810">
        <w:rPr>
          <w:sz w:val="22"/>
          <w:szCs w:val="22"/>
          <w:lang w:val="en-GB"/>
        </w:rPr>
        <w:t xml:space="preserve">Assessment of </w:t>
      </w:r>
      <w:r w:rsidR="00921A5C">
        <w:rPr>
          <w:sz w:val="22"/>
          <w:szCs w:val="22"/>
          <w:lang w:val="en-GB"/>
        </w:rPr>
        <w:t>t</w:t>
      </w:r>
      <w:r w:rsidRPr="00B62810">
        <w:rPr>
          <w:sz w:val="22"/>
          <w:szCs w:val="22"/>
          <w:lang w:val="en-GB"/>
        </w:rPr>
        <w:t xml:space="preserve">arget </w:t>
      </w:r>
      <w:r w:rsidR="00594488">
        <w:rPr>
          <w:sz w:val="22"/>
          <w:szCs w:val="22"/>
          <w:lang w:val="en-GB"/>
        </w:rPr>
        <w:t>i</w:t>
      </w:r>
      <w:r w:rsidRPr="00B62810">
        <w:rPr>
          <w:sz w:val="22"/>
          <w:szCs w:val="22"/>
          <w:lang w:val="en-GB"/>
        </w:rPr>
        <w:t xml:space="preserve">nvestments against the Fund’s impact criteria as well as potential contribution and undertaking of overall impact assessment; </w:t>
      </w:r>
    </w:p>
    <w:p w14:paraId="693FDA82" w14:textId="14A7627B" w:rsidR="009B7C34" w:rsidRPr="00267235" w:rsidRDefault="0060314C" w:rsidP="00267235">
      <w:pPr>
        <w:pStyle w:val="ListParagraph"/>
        <w:numPr>
          <w:ilvl w:val="0"/>
          <w:numId w:val="38"/>
        </w:numPr>
        <w:spacing w:after="200" w:line="276" w:lineRule="auto"/>
        <w:jc w:val="both"/>
        <w:rPr>
          <w:sz w:val="22"/>
          <w:szCs w:val="22"/>
          <w:lang w:val="en-GB"/>
        </w:rPr>
      </w:pPr>
      <w:r w:rsidRPr="00081FAF">
        <w:rPr>
          <w:rFonts w:eastAsia="PMingLiU" w:cstheme="minorHAnsi"/>
          <w:sz w:val="22"/>
          <w:szCs w:val="22"/>
        </w:rPr>
        <w:t xml:space="preserve">An ESG due diligence </w:t>
      </w:r>
      <w:r w:rsidR="00B62810" w:rsidRPr="00B62810">
        <w:rPr>
          <w:sz w:val="22"/>
          <w:szCs w:val="22"/>
          <w:lang w:val="en-GB"/>
        </w:rPr>
        <w:t xml:space="preserve">to identify and manage ESG risks and opportunities. All ESG risks are classified and addressed for each Direct Investment. The Manager negotiates responsible investment standards into legal documentation and strives to monitor its </w:t>
      </w:r>
      <w:r w:rsidR="00666FD3">
        <w:rPr>
          <w:sz w:val="22"/>
          <w:szCs w:val="22"/>
          <w:lang w:val="en-GB"/>
        </w:rPr>
        <w:t xml:space="preserve">Sustainable </w:t>
      </w:r>
      <w:r w:rsidR="009B7C34">
        <w:rPr>
          <w:sz w:val="22"/>
          <w:szCs w:val="22"/>
          <w:lang w:val="en-GB"/>
        </w:rPr>
        <w:t>I</w:t>
      </w:r>
      <w:r w:rsidR="00B62810" w:rsidRPr="00B62810">
        <w:rPr>
          <w:sz w:val="22"/>
          <w:szCs w:val="22"/>
          <w:lang w:val="en-GB"/>
        </w:rPr>
        <w:t>nvestments on an ongoing basis to ensure that any potential ESG or reputational issues are quickly identified and properly managed;</w:t>
      </w:r>
    </w:p>
    <w:p w14:paraId="249D9E8A" w14:textId="275D906E" w:rsidR="009B7C34" w:rsidRPr="00267235" w:rsidRDefault="00B62810" w:rsidP="00267235">
      <w:pPr>
        <w:pStyle w:val="ListParagraph"/>
        <w:numPr>
          <w:ilvl w:val="0"/>
          <w:numId w:val="38"/>
        </w:numPr>
        <w:spacing w:after="200" w:line="276" w:lineRule="auto"/>
        <w:jc w:val="both"/>
        <w:rPr>
          <w:sz w:val="22"/>
          <w:szCs w:val="22"/>
          <w:lang w:val="en-GB"/>
        </w:rPr>
      </w:pPr>
      <w:r w:rsidRPr="00B62810">
        <w:rPr>
          <w:sz w:val="22"/>
          <w:szCs w:val="22"/>
          <w:lang w:val="en-GB"/>
        </w:rPr>
        <w:t xml:space="preserve">Development of a logic model to map out how the </w:t>
      </w:r>
      <w:r w:rsidR="00921A5C">
        <w:rPr>
          <w:sz w:val="22"/>
          <w:szCs w:val="22"/>
          <w:lang w:val="en-GB"/>
        </w:rPr>
        <w:t>t</w:t>
      </w:r>
      <w:r w:rsidRPr="00B62810">
        <w:rPr>
          <w:sz w:val="22"/>
          <w:szCs w:val="22"/>
          <w:lang w:val="en-GB"/>
        </w:rPr>
        <w:t xml:space="preserve">arget </w:t>
      </w:r>
      <w:r w:rsidR="00594488">
        <w:rPr>
          <w:sz w:val="22"/>
          <w:szCs w:val="22"/>
          <w:lang w:val="en-GB"/>
        </w:rPr>
        <w:t>i</w:t>
      </w:r>
      <w:r w:rsidRPr="00B62810">
        <w:rPr>
          <w:sz w:val="22"/>
          <w:szCs w:val="22"/>
          <w:lang w:val="en-GB"/>
        </w:rPr>
        <w:t xml:space="preserve">nvestments’ products and services may lead to outputs, outcomes and how </w:t>
      </w:r>
      <w:r w:rsidR="00A92ADA" w:rsidRPr="00081FAF">
        <w:rPr>
          <w:rFonts w:eastAsia="PMingLiU" w:cstheme="minorHAnsi"/>
          <w:sz w:val="22"/>
          <w:szCs w:val="22"/>
        </w:rPr>
        <w:t>the environment is impacted</w:t>
      </w:r>
      <w:r w:rsidR="00A92ADA" w:rsidRPr="00B62810" w:rsidDel="00A92ADA">
        <w:rPr>
          <w:sz w:val="22"/>
          <w:szCs w:val="22"/>
          <w:lang w:val="en-GB"/>
        </w:rPr>
        <w:t xml:space="preserve"> </w:t>
      </w:r>
      <w:r w:rsidRPr="00B62810">
        <w:rPr>
          <w:sz w:val="22"/>
          <w:szCs w:val="22"/>
          <w:lang w:val="en-GB"/>
        </w:rPr>
        <w:t>by the activities of a company or asset, both positive and negative;</w:t>
      </w:r>
    </w:p>
    <w:p w14:paraId="20E5BD22" w14:textId="70FD88CC" w:rsidR="009B7C34" w:rsidRPr="00267235" w:rsidRDefault="00B62810" w:rsidP="00267235">
      <w:pPr>
        <w:pStyle w:val="ListParagraph"/>
        <w:numPr>
          <w:ilvl w:val="0"/>
          <w:numId w:val="38"/>
        </w:numPr>
        <w:spacing w:after="200" w:line="276" w:lineRule="auto"/>
        <w:jc w:val="both"/>
        <w:rPr>
          <w:sz w:val="22"/>
          <w:szCs w:val="22"/>
          <w:lang w:val="en-GB"/>
        </w:rPr>
      </w:pPr>
      <w:r w:rsidRPr="00B62810">
        <w:rPr>
          <w:sz w:val="22"/>
          <w:szCs w:val="22"/>
          <w:lang w:val="en-GB"/>
        </w:rPr>
        <w:t>Identification of appropriate impact related metrics for impact measurement and ongoing reporting</w:t>
      </w:r>
      <w:r w:rsidR="00267235">
        <w:rPr>
          <w:sz w:val="22"/>
          <w:szCs w:val="22"/>
          <w:lang w:val="en-GB"/>
        </w:rPr>
        <w:t>; and</w:t>
      </w:r>
    </w:p>
    <w:p w14:paraId="28C2E894" w14:textId="5797C18B" w:rsidR="00B62810" w:rsidRDefault="00B62810" w:rsidP="00B62810">
      <w:pPr>
        <w:pStyle w:val="ListParagraph"/>
        <w:numPr>
          <w:ilvl w:val="0"/>
          <w:numId w:val="38"/>
        </w:numPr>
        <w:spacing w:after="200" w:line="276" w:lineRule="auto"/>
        <w:jc w:val="both"/>
        <w:rPr>
          <w:sz w:val="22"/>
          <w:szCs w:val="22"/>
          <w:lang w:val="en-GB"/>
        </w:rPr>
      </w:pPr>
      <w:r w:rsidRPr="00B62810">
        <w:rPr>
          <w:sz w:val="22"/>
          <w:szCs w:val="22"/>
          <w:lang w:val="en-GB"/>
        </w:rPr>
        <w:t>Alignment of the impact targets, ESG risks to be addressed, measurements and reporting standards with the management.</w:t>
      </w:r>
    </w:p>
    <w:p w14:paraId="60664522" w14:textId="77777777" w:rsidR="000429F9" w:rsidRDefault="000429F9" w:rsidP="000429F9">
      <w:pPr>
        <w:spacing w:after="200" w:line="276" w:lineRule="auto"/>
        <w:jc w:val="both"/>
        <w:rPr>
          <w:sz w:val="22"/>
          <w:szCs w:val="22"/>
          <w:lang w:val="en-GB"/>
        </w:rPr>
      </w:pPr>
    </w:p>
    <w:p w14:paraId="4E770F2E" w14:textId="77777777" w:rsidR="000429F9" w:rsidRPr="00585CEC" w:rsidRDefault="000429F9" w:rsidP="000429F9">
      <w:pPr>
        <w:pStyle w:val="ListParagraph"/>
        <w:numPr>
          <w:ilvl w:val="0"/>
          <w:numId w:val="37"/>
        </w:numPr>
        <w:spacing w:after="200" w:line="276" w:lineRule="auto"/>
        <w:jc w:val="both"/>
        <w:rPr>
          <w:sz w:val="22"/>
          <w:szCs w:val="22"/>
          <w:lang w:val="en-GB"/>
        </w:rPr>
      </w:pPr>
      <w:r w:rsidRPr="00585CEC">
        <w:rPr>
          <w:sz w:val="22"/>
          <w:szCs w:val="22"/>
          <w:lang w:val="en-GB"/>
        </w:rPr>
        <w:t>Ownership</w:t>
      </w:r>
    </w:p>
    <w:p w14:paraId="25442477" w14:textId="77777777" w:rsidR="00B62810" w:rsidRPr="00B62810" w:rsidRDefault="00B62810" w:rsidP="00B62810">
      <w:pPr>
        <w:spacing w:after="200" w:line="276" w:lineRule="auto"/>
        <w:jc w:val="both"/>
        <w:rPr>
          <w:sz w:val="22"/>
          <w:szCs w:val="22"/>
          <w:lang w:val="en-GB"/>
        </w:rPr>
      </w:pPr>
      <w:r w:rsidRPr="00B62810">
        <w:rPr>
          <w:sz w:val="22"/>
          <w:szCs w:val="22"/>
          <w:lang w:val="en-GB"/>
        </w:rPr>
        <w:t>The Fund continues to integrate impact considerations throughout the holding period by:</w:t>
      </w:r>
    </w:p>
    <w:p w14:paraId="4237B1B0" w14:textId="08E24B44" w:rsidR="00B62810" w:rsidRPr="00B62810" w:rsidRDefault="00B62810" w:rsidP="00B62810">
      <w:pPr>
        <w:pStyle w:val="ListParagraph"/>
        <w:numPr>
          <w:ilvl w:val="0"/>
          <w:numId w:val="39"/>
        </w:numPr>
        <w:spacing w:after="200" w:line="276" w:lineRule="auto"/>
        <w:jc w:val="both"/>
        <w:rPr>
          <w:sz w:val="22"/>
          <w:szCs w:val="22"/>
          <w:lang w:val="en-GB"/>
        </w:rPr>
      </w:pPr>
      <w:r w:rsidRPr="00B62810">
        <w:rPr>
          <w:sz w:val="22"/>
          <w:szCs w:val="22"/>
          <w:lang w:val="en-GB"/>
        </w:rPr>
        <w:t xml:space="preserve">pro-actively monitoring the impact generated against plan, and (where possible and meaningful) engaging with management throughout the holding period to ensure impact deliverables and to avoid "mission drift"; and </w:t>
      </w:r>
    </w:p>
    <w:p w14:paraId="6DA87936" w14:textId="3B263BEC" w:rsidR="00B62810" w:rsidRPr="00B62810" w:rsidRDefault="00B62810" w:rsidP="00B62810">
      <w:pPr>
        <w:pStyle w:val="ListParagraph"/>
        <w:numPr>
          <w:ilvl w:val="0"/>
          <w:numId w:val="39"/>
        </w:numPr>
        <w:spacing w:after="200" w:line="276" w:lineRule="auto"/>
        <w:jc w:val="both"/>
        <w:rPr>
          <w:sz w:val="22"/>
          <w:szCs w:val="22"/>
          <w:lang w:val="en-GB"/>
        </w:rPr>
      </w:pPr>
      <w:r w:rsidRPr="00B62810">
        <w:rPr>
          <w:sz w:val="22"/>
          <w:szCs w:val="22"/>
          <w:lang w:val="en-GB"/>
        </w:rPr>
        <w:t xml:space="preserve">The Fund produces a comprehensive </w:t>
      </w:r>
      <w:r w:rsidR="0091252C">
        <w:rPr>
          <w:sz w:val="22"/>
          <w:szCs w:val="22"/>
          <w:lang w:val="en-GB"/>
        </w:rPr>
        <w:t>i</w:t>
      </w:r>
      <w:r w:rsidRPr="00B62810">
        <w:rPr>
          <w:sz w:val="22"/>
          <w:szCs w:val="22"/>
          <w:lang w:val="en-GB"/>
        </w:rPr>
        <w:t xml:space="preserve">mpact </w:t>
      </w:r>
      <w:r w:rsidR="0091252C">
        <w:rPr>
          <w:sz w:val="22"/>
          <w:szCs w:val="22"/>
          <w:lang w:val="en-GB"/>
        </w:rPr>
        <w:t>r</w:t>
      </w:r>
      <w:r w:rsidRPr="00B62810">
        <w:rPr>
          <w:sz w:val="22"/>
          <w:szCs w:val="22"/>
          <w:lang w:val="en-GB"/>
        </w:rPr>
        <w:t>eport to all clients on an annual basis. The report provides detail on the performance of the portfolio against key impact-related metrics, highlighting noteworthy trends or improvements with case studies</w:t>
      </w:r>
      <w:r w:rsidR="0054543C">
        <w:rPr>
          <w:sz w:val="22"/>
          <w:szCs w:val="22"/>
          <w:lang w:val="en-GB"/>
        </w:rPr>
        <w:t>.</w:t>
      </w:r>
    </w:p>
    <w:p w14:paraId="4CED3BBE" w14:textId="024F90AD" w:rsidR="000429F9" w:rsidRDefault="002708E6" w:rsidP="00B62810">
      <w:pPr>
        <w:spacing w:after="200" w:line="276" w:lineRule="auto"/>
        <w:jc w:val="both"/>
        <w:rPr>
          <w:sz w:val="22"/>
          <w:szCs w:val="22"/>
          <w:lang w:val="en-GB"/>
        </w:rPr>
      </w:pPr>
      <w:r>
        <w:rPr>
          <w:sz w:val="22"/>
          <w:szCs w:val="22"/>
          <w:lang w:val="en-GB"/>
        </w:rPr>
        <w:t>T</w:t>
      </w:r>
      <w:r w:rsidR="00B62810" w:rsidRPr="00B62810">
        <w:rPr>
          <w:sz w:val="22"/>
          <w:szCs w:val="22"/>
          <w:lang w:val="en-GB"/>
        </w:rPr>
        <w:t>he Fund monitors ESG risks addressed, and (where possible and meaningful) reports on progress made on key ESG indicators.</w:t>
      </w:r>
    </w:p>
    <w:p w14:paraId="0164B00D" w14:textId="77777777" w:rsidR="00B62810" w:rsidRPr="00585CEC" w:rsidRDefault="00B62810" w:rsidP="00B62810">
      <w:pPr>
        <w:spacing w:after="200" w:line="276" w:lineRule="auto"/>
        <w:jc w:val="both"/>
        <w:rPr>
          <w:sz w:val="22"/>
          <w:szCs w:val="22"/>
          <w:lang w:val="en-GB"/>
        </w:rPr>
      </w:pPr>
    </w:p>
    <w:p w14:paraId="4419B666" w14:textId="77777777" w:rsidR="000429F9" w:rsidRPr="00585CEC" w:rsidRDefault="000429F9" w:rsidP="000429F9">
      <w:pPr>
        <w:pStyle w:val="ListParagraph"/>
        <w:numPr>
          <w:ilvl w:val="0"/>
          <w:numId w:val="37"/>
        </w:numPr>
        <w:spacing w:after="200" w:line="276" w:lineRule="auto"/>
        <w:jc w:val="both"/>
        <w:rPr>
          <w:sz w:val="22"/>
          <w:szCs w:val="22"/>
          <w:lang w:val="en-GB"/>
        </w:rPr>
      </w:pPr>
      <w:r w:rsidRPr="00585CEC">
        <w:rPr>
          <w:sz w:val="22"/>
          <w:szCs w:val="22"/>
          <w:lang w:val="en-GB"/>
        </w:rPr>
        <w:t>Exit</w:t>
      </w:r>
    </w:p>
    <w:p w14:paraId="704D7867" w14:textId="524CCA4E" w:rsidR="00B62810" w:rsidRPr="00B62810" w:rsidRDefault="00B62810" w:rsidP="00B62810">
      <w:pPr>
        <w:spacing w:after="200" w:line="276" w:lineRule="auto"/>
        <w:jc w:val="both"/>
        <w:rPr>
          <w:sz w:val="22"/>
          <w:szCs w:val="22"/>
          <w:lang w:val="en-GB"/>
        </w:rPr>
      </w:pPr>
      <w:r w:rsidRPr="00B62810">
        <w:rPr>
          <w:sz w:val="22"/>
          <w:szCs w:val="22"/>
          <w:lang w:val="en-GB"/>
        </w:rPr>
        <w:t xml:space="preserve">Exit planning is addressed from the outset of the deal evaluation process and forms an important part of the investment decision making process. The Fund works closely with management to ensure that thorough consideration is given to how the impact mission &amp; sustainability of its </w:t>
      </w:r>
      <w:r w:rsidR="00460F20">
        <w:rPr>
          <w:sz w:val="22"/>
          <w:szCs w:val="22"/>
          <w:lang w:val="en-GB"/>
        </w:rPr>
        <w:t xml:space="preserve">Sustainable </w:t>
      </w:r>
      <w:r w:rsidRPr="00B62810">
        <w:rPr>
          <w:sz w:val="22"/>
          <w:szCs w:val="22"/>
          <w:lang w:val="en-GB"/>
        </w:rPr>
        <w:t>Investments can be protected after exit.</w:t>
      </w:r>
    </w:p>
    <w:p w14:paraId="0CED09B5" w14:textId="14679549" w:rsidR="00585CEC" w:rsidRPr="00D47E7E" w:rsidRDefault="00976AD6" w:rsidP="00FC3788">
      <w:pPr>
        <w:spacing w:after="200" w:line="276" w:lineRule="auto"/>
        <w:jc w:val="both"/>
        <w:rPr>
          <w:b/>
          <w:bCs/>
          <w:i/>
          <w:iCs/>
          <w:sz w:val="22"/>
          <w:szCs w:val="22"/>
          <w:lang w:val="en-GB"/>
        </w:rPr>
      </w:pPr>
      <w:r w:rsidRPr="00D47E7E">
        <w:rPr>
          <w:b/>
          <w:bCs/>
          <w:i/>
          <w:iCs/>
          <w:sz w:val="22"/>
          <w:szCs w:val="22"/>
          <w:lang w:val="en-GB"/>
        </w:rPr>
        <w:t>What i</w:t>
      </w:r>
      <w:r w:rsidR="001B485B">
        <w:rPr>
          <w:b/>
          <w:bCs/>
          <w:i/>
          <w:iCs/>
          <w:sz w:val="22"/>
          <w:szCs w:val="22"/>
          <w:lang w:val="en-GB"/>
        </w:rPr>
        <w:t>s</w:t>
      </w:r>
      <w:r w:rsidRPr="00D47E7E">
        <w:rPr>
          <w:b/>
          <w:bCs/>
          <w:i/>
          <w:iCs/>
          <w:sz w:val="22"/>
          <w:szCs w:val="22"/>
          <w:lang w:val="en-GB"/>
        </w:rPr>
        <w:t xml:space="preserve"> the policy</w:t>
      </w:r>
      <w:r w:rsidR="004D0944" w:rsidRPr="00D47E7E">
        <w:rPr>
          <w:b/>
          <w:bCs/>
          <w:i/>
          <w:iCs/>
          <w:sz w:val="22"/>
          <w:szCs w:val="22"/>
          <w:lang w:val="en-GB"/>
        </w:rPr>
        <w:t xml:space="preserve"> to assess good governance practices of the investee companies?</w:t>
      </w:r>
    </w:p>
    <w:p w14:paraId="3D734D6D" w14:textId="02D6EE83" w:rsidR="00D47E7E" w:rsidRPr="006F27F0" w:rsidRDefault="00D47E7E" w:rsidP="00D47E7E">
      <w:pPr>
        <w:spacing w:line="300" w:lineRule="atLeast"/>
        <w:ind w:left="-5" w:right="-105" w:firstLine="29"/>
        <w:jc w:val="both"/>
        <w:rPr>
          <w:rFonts w:cstheme="minorHAnsi"/>
          <w:sz w:val="22"/>
          <w:szCs w:val="22"/>
          <w:lang w:val="en-GB"/>
        </w:rPr>
      </w:pPr>
      <w:r w:rsidRPr="006F27F0">
        <w:rPr>
          <w:rFonts w:cstheme="minorHAnsi"/>
          <w:sz w:val="22"/>
          <w:szCs w:val="22"/>
          <w:lang w:val="en-GB"/>
        </w:rPr>
        <w:t>The Manager has a process for assessing the governance practices of the underlying companies/</w:t>
      </w:r>
      <w:r w:rsidR="00460F20">
        <w:rPr>
          <w:rFonts w:cstheme="minorHAnsi"/>
          <w:sz w:val="22"/>
          <w:szCs w:val="22"/>
          <w:lang w:val="en-GB"/>
        </w:rPr>
        <w:t xml:space="preserve"> </w:t>
      </w:r>
      <w:r w:rsidR="00817C26">
        <w:rPr>
          <w:rFonts w:cstheme="minorHAnsi"/>
          <w:sz w:val="22"/>
          <w:szCs w:val="22"/>
          <w:lang w:val="en-GB"/>
        </w:rPr>
        <w:t>i</w:t>
      </w:r>
      <w:r w:rsidRPr="006F27F0">
        <w:rPr>
          <w:rFonts w:cstheme="minorHAnsi"/>
          <w:sz w:val="22"/>
          <w:szCs w:val="22"/>
          <w:lang w:val="en-GB"/>
        </w:rPr>
        <w:t>nvestments.</w:t>
      </w:r>
    </w:p>
    <w:p w14:paraId="7841E5DE" w14:textId="53E55CC5" w:rsidR="004D0944" w:rsidRPr="003F200D" w:rsidRDefault="00D47E7E" w:rsidP="00D47E7E">
      <w:pPr>
        <w:spacing w:after="200" w:line="276" w:lineRule="auto"/>
        <w:jc w:val="both"/>
        <w:rPr>
          <w:sz w:val="22"/>
          <w:szCs w:val="22"/>
          <w:lang w:val="en-GB"/>
        </w:rPr>
      </w:pPr>
      <w:r w:rsidRPr="005C38F0">
        <w:rPr>
          <w:rFonts w:cstheme="minorHAnsi"/>
          <w:sz w:val="22"/>
          <w:szCs w:val="22"/>
          <w:lang w:val="en-GB"/>
        </w:rPr>
        <w:lastRenderedPageBreak/>
        <w:t>Further information on the Adviser’s policy to assess the governance practices of potential and actual</w:t>
      </w:r>
      <w:r w:rsidR="00460F20">
        <w:rPr>
          <w:rFonts w:cstheme="minorHAnsi"/>
          <w:sz w:val="22"/>
          <w:szCs w:val="22"/>
          <w:lang w:val="en-GB"/>
        </w:rPr>
        <w:t xml:space="preserve"> </w:t>
      </w:r>
      <w:r w:rsidR="00817C26">
        <w:rPr>
          <w:rFonts w:cstheme="minorHAnsi"/>
          <w:sz w:val="22"/>
          <w:szCs w:val="22"/>
          <w:lang w:val="en-GB"/>
        </w:rPr>
        <w:t>i</w:t>
      </w:r>
      <w:r w:rsidRPr="005C38F0">
        <w:rPr>
          <w:rFonts w:cstheme="minorHAnsi"/>
          <w:sz w:val="22"/>
          <w:szCs w:val="22"/>
          <w:lang w:val="en-GB"/>
        </w:rPr>
        <w:t xml:space="preserve">nvestments, can be found on the following website: </w:t>
      </w:r>
      <w:hyperlink r:id="rId11" w:history="1">
        <w:r w:rsidRPr="005C38F0">
          <w:rPr>
            <w:rStyle w:val="Hyperlink"/>
            <w:sz w:val="22"/>
            <w:szCs w:val="22"/>
            <w:lang w:val="en-GB"/>
          </w:rPr>
          <w:t>https://blueearth.capital/impact-sustainability/</w:t>
        </w:r>
      </w:hyperlink>
    </w:p>
    <w:p w14:paraId="7A32286D" w14:textId="7697C847" w:rsidR="008C2D57" w:rsidRDefault="008C2D57" w:rsidP="006C4130">
      <w:pPr>
        <w:pStyle w:val="Heading1"/>
        <w:numPr>
          <w:ilvl w:val="0"/>
          <w:numId w:val="26"/>
        </w:numPr>
        <w:ind w:left="709"/>
        <w:rPr>
          <w:sz w:val="22"/>
          <w:szCs w:val="22"/>
          <w:lang w:val="en-GB"/>
        </w:rPr>
      </w:pPr>
      <w:r>
        <w:rPr>
          <w:sz w:val="22"/>
          <w:szCs w:val="22"/>
          <w:lang w:val="en-GB"/>
        </w:rPr>
        <w:t>Proportion of investments</w:t>
      </w:r>
    </w:p>
    <w:tbl>
      <w:tblPr>
        <w:tblStyle w:val="TableGrid"/>
        <w:tblW w:w="0" w:type="auto"/>
        <w:tblLayout w:type="fixed"/>
        <w:tblLook w:val="04A0" w:firstRow="1" w:lastRow="0" w:firstColumn="1" w:lastColumn="0" w:noHBand="0" w:noVBand="1"/>
      </w:tblPr>
      <w:tblGrid>
        <w:gridCol w:w="460"/>
        <w:gridCol w:w="4922"/>
        <w:gridCol w:w="3679"/>
      </w:tblGrid>
      <w:tr w:rsidR="008C2D57" w14:paraId="3DA7E47D" w14:textId="77777777" w:rsidTr="000A0FED">
        <w:trPr>
          <w:trHeight w:val="488"/>
        </w:trPr>
        <w:tc>
          <w:tcPr>
            <w:tcW w:w="460" w:type="dxa"/>
            <w:tcBorders>
              <w:bottom w:val="single" w:sz="4" w:space="0" w:color="auto"/>
            </w:tcBorders>
          </w:tcPr>
          <w:p w14:paraId="046BD716" w14:textId="084C9B86" w:rsidR="008C2D57" w:rsidRDefault="008C2D57" w:rsidP="008C2D57">
            <w:pPr>
              <w:rPr>
                <w:lang w:val="en-GB"/>
              </w:rPr>
            </w:pPr>
            <w:r w:rsidRPr="008C2D57">
              <w:rPr>
                <w:lang w:val="x-none"/>
              </w:rPr>
              <w:t xml:space="preserve">#1 </w:t>
            </w:r>
          </w:p>
        </w:tc>
        <w:tc>
          <w:tcPr>
            <w:tcW w:w="4922" w:type="dxa"/>
            <w:tcBorders>
              <w:bottom w:val="single" w:sz="4" w:space="0" w:color="auto"/>
            </w:tcBorders>
          </w:tcPr>
          <w:p w14:paraId="76B7B9F5" w14:textId="4E884856" w:rsidR="008C2D57" w:rsidRDefault="00EA0C20" w:rsidP="008C2D57">
            <w:pPr>
              <w:jc w:val="both"/>
              <w:rPr>
                <w:lang w:val="x-none"/>
              </w:rPr>
            </w:pPr>
            <w:r>
              <w:rPr>
                <w:lang w:val="en-GB"/>
              </w:rPr>
              <w:t>Sustainable</w:t>
            </w:r>
            <w:r w:rsidR="00A71EEC">
              <w:rPr>
                <w:lang w:val="en-GB"/>
              </w:rPr>
              <w:t xml:space="preserve"> – covers Sustainable Investments with environmental or social objectives</w:t>
            </w:r>
          </w:p>
        </w:tc>
        <w:tc>
          <w:tcPr>
            <w:tcW w:w="3679" w:type="dxa"/>
            <w:tcBorders>
              <w:bottom w:val="single" w:sz="4" w:space="0" w:color="auto"/>
            </w:tcBorders>
          </w:tcPr>
          <w:p w14:paraId="0165E8FD" w14:textId="5D4BFCAF" w:rsidR="008C2D57" w:rsidRDefault="00EA0C20" w:rsidP="008C2D57">
            <w:pPr>
              <w:jc w:val="right"/>
              <w:rPr>
                <w:lang w:val="x-none"/>
              </w:rPr>
            </w:pPr>
            <w:r>
              <w:rPr>
                <w:lang w:val="en-GB"/>
              </w:rPr>
              <w:t>9</w:t>
            </w:r>
            <w:r w:rsidR="008C2D57" w:rsidRPr="008C2D57">
              <w:rPr>
                <w:lang w:val="x-none"/>
              </w:rPr>
              <w:t>0%</w:t>
            </w:r>
          </w:p>
        </w:tc>
      </w:tr>
      <w:tr w:rsidR="00F43488" w14:paraId="05586F4A" w14:textId="77777777" w:rsidTr="000A0FED">
        <w:trPr>
          <w:trHeight w:val="488"/>
        </w:trPr>
        <w:tc>
          <w:tcPr>
            <w:tcW w:w="460" w:type="dxa"/>
            <w:tcBorders>
              <w:top w:val="single" w:sz="4" w:space="0" w:color="auto"/>
              <w:bottom w:val="single" w:sz="4" w:space="0" w:color="auto"/>
            </w:tcBorders>
          </w:tcPr>
          <w:p w14:paraId="758F5CA8" w14:textId="77777777" w:rsidR="00F43488" w:rsidRPr="008C2D57" w:rsidRDefault="00F43488" w:rsidP="00F43488">
            <w:pPr>
              <w:rPr>
                <w:lang w:val="x-none"/>
              </w:rPr>
            </w:pPr>
          </w:p>
        </w:tc>
        <w:tc>
          <w:tcPr>
            <w:tcW w:w="4922" w:type="dxa"/>
            <w:tcBorders>
              <w:top w:val="single" w:sz="4" w:space="0" w:color="auto"/>
              <w:bottom w:val="single" w:sz="4" w:space="0" w:color="auto"/>
            </w:tcBorders>
          </w:tcPr>
          <w:p w14:paraId="17E28F59" w14:textId="4ED6CCE2" w:rsidR="00F43488" w:rsidRDefault="00F43488" w:rsidP="00F43488">
            <w:pPr>
              <w:rPr>
                <w:lang w:val="en-GB"/>
              </w:rPr>
            </w:pPr>
            <w:r w:rsidRPr="008C2D57">
              <w:rPr>
                <w:lang w:val="x-none"/>
              </w:rPr>
              <w:t>#1A</w:t>
            </w:r>
            <w:r>
              <w:rPr>
                <w:lang w:val="en-GB"/>
              </w:rPr>
              <w:t xml:space="preserve">  -</w:t>
            </w:r>
            <w:r w:rsidR="000A0FED">
              <w:rPr>
                <w:lang w:val="en-GB"/>
              </w:rPr>
              <w:t xml:space="preserve"> </w:t>
            </w:r>
            <w:r w:rsidR="005E6EE7">
              <w:rPr>
                <w:lang w:val="en-GB"/>
              </w:rPr>
              <w:t xml:space="preserve">Environmental </w:t>
            </w:r>
            <w:r w:rsidR="000A0FED">
              <w:rPr>
                <w:lang w:val="en-GB"/>
              </w:rPr>
              <w:t xml:space="preserve">– covers Sustainable Investments </w:t>
            </w:r>
            <w:r w:rsidR="005E6EE7">
              <w:rPr>
                <w:lang w:val="en-GB"/>
              </w:rPr>
              <w:t>w</w:t>
            </w:r>
            <w:r w:rsidR="000A0FED">
              <w:rPr>
                <w:lang w:val="en-GB"/>
              </w:rPr>
              <w:t>ith environmental objective</w:t>
            </w:r>
            <w:r w:rsidRPr="00F43488">
              <w:rPr>
                <w:lang w:val="en-GB"/>
              </w:rPr>
              <w:t>.</w:t>
            </w:r>
          </w:p>
        </w:tc>
        <w:tc>
          <w:tcPr>
            <w:tcW w:w="3679" w:type="dxa"/>
            <w:tcBorders>
              <w:top w:val="single" w:sz="4" w:space="0" w:color="auto"/>
              <w:bottom w:val="single" w:sz="4" w:space="0" w:color="auto"/>
            </w:tcBorders>
          </w:tcPr>
          <w:p w14:paraId="69A1F59D" w14:textId="4A5DFD53" w:rsidR="00F43488" w:rsidRPr="00A53E57" w:rsidRDefault="005E6EE7" w:rsidP="00F43488">
            <w:pPr>
              <w:jc w:val="right"/>
              <w:rPr>
                <w:lang w:val="x-none"/>
              </w:rPr>
            </w:pPr>
            <w:r>
              <w:rPr>
                <w:lang w:val="en-GB"/>
              </w:rPr>
              <w:t>9</w:t>
            </w:r>
            <w:r w:rsidR="001F75ED" w:rsidRPr="00A53E57">
              <w:rPr>
                <w:lang w:val="en-GB"/>
              </w:rPr>
              <w:t>0</w:t>
            </w:r>
            <w:r w:rsidR="00F43488" w:rsidRPr="00A53E57">
              <w:rPr>
                <w:lang w:val="x-none"/>
              </w:rPr>
              <w:t>%</w:t>
            </w:r>
          </w:p>
        </w:tc>
      </w:tr>
      <w:tr w:rsidR="005E6EE7" w14:paraId="1891C978" w14:textId="77777777" w:rsidTr="000A0FED">
        <w:trPr>
          <w:trHeight w:val="488"/>
        </w:trPr>
        <w:tc>
          <w:tcPr>
            <w:tcW w:w="460" w:type="dxa"/>
            <w:tcBorders>
              <w:top w:val="single" w:sz="4" w:space="0" w:color="auto"/>
              <w:bottom w:val="single" w:sz="4" w:space="0" w:color="auto"/>
            </w:tcBorders>
          </w:tcPr>
          <w:p w14:paraId="3C9F0AA7" w14:textId="77777777" w:rsidR="005E6EE7" w:rsidRPr="008C2D57" w:rsidRDefault="005E6EE7" w:rsidP="00F43488">
            <w:pPr>
              <w:rPr>
                <w:lang w:val="x-none"/>
              </w:rPr>
            </w:pPr>
          </w:p>
        </w:tc>
        <w:tc>
          <w:tcPr>
            <w:tcW w:w="4922" w:type="dxa"/>
            <w:tcBorders>
              <w:top w:val="single" w:sz="4" w:space="0" w:color="auto"/>
              <w:bottom w:val="single" w:sz="4" w:space="0" w:color="auto"/>
            </w:tcBorders>
          </w:tcPr>
          <w:p w14:paraId="3C687313" w14:textId="393FC0EE" w:rsidR="005E6EE7" w:rsidRPr="0004445C" w:rsidRDefault="0004445C" w:rsidP="00A71EEC">
            <w:pPr>
              <w:ind w:left="564"/>
              <w:rPr>
                <w:lang w:val="en-GB"/>
              </w:rPr>
            </w:pPr>
            <w:r>
              <w:rPr>
                <w:lang w:val="en-GB"/>
              </w:rPr>
              <w:t>#1A a – Taxonomy aligned</w:t>
            </w:r>
          </w:p>
        </w:tc>
        <w:tc>
          <w:tcPr>
            <w:tcW w:w="3679" w:type="dxa"/>
            <w:tcBorders>
              <w:top w:val="single" w:sz="4" w:space="0" w:color="auto"/>
              <w:bottom w:val="single" w:sz="4" w:space="0" w:color="auto"/>
            </w:tcBorders>
          </w:tcPr>
          <w:p w14:paraId="0E13618B" w14:textId="472C12F6" w:rsidR="005E6EE7" w:rsidRDefault="001C73D0" w:rsidP="00F43488">
            <w:pPr>
              <w:jc w:val="right"/>
              <w:rPr>
                <w:lang w:val="en-GB"/>
              </w:rPr>
            </w:pPr>
            <w:r>
              <w:rPr>
                <w:lang w:val="en-GB"/>
              </w:rPr>
              <w:t>0</w:t>
            </w:r>
            <w:r w:rsidR="0004445C">
              <w:rPr>
                <w:lang w:val="en-GB"/>
              </w:rPr>
              <w:t xml:space="preserve">% </w:t>
            </w:r>
          </w:p>
        </w:tc>
      </w:tr>
      <w:tr w:rsidR="0004445C" w14:paraId="6D0B62C3" w14:textId="77777777" w:rsidTr="000A0FED">
        <w:trPr>
          <w:trHeight w:val="488"/>
        </w:trPr>
        <w:tc>
          <w:tcPr>
            <w:tcW w:w="460" w:type="dxa"/>
            <w:tcBorders>
              <w:top w:val="single" w:sz="4" w:space="0" w:color="auto"/>
              <w:bottom w:val="single" w:sz="4" w:space="0" w:color="auto"/>
            </w:tcBorders>
          </w:tcPr>
          <w:p w14:paraId="1637017F" w14:textId="77777777" w:rsidR="0004445C" w:rsidRPr="008C2D57" w:rsidRDefault="0004445C" w:rsidP="00F43488">
            <w:pPr>
              <w:rPr>
                <w:lang w:val="x-none"/>
              </w:rPr>
            </w:pPr>
          </w:p>
        </w:tc>
        <w:tc>
          <w:tcPr>
            <w:tcW w:w="4922" w:type="dxa"/>
            <w:tcBorders>
              <w:top w:val="single" w:sz="4" w:space="0" w:color="auto"/>
              <w:bottom w:val="single" w:sz="4" w:space="0" w:color="auto"/>
            </w:tcBorders>
          </w:tcPr>
          <w:p w14:paraId="57411205" w14:textId="565B47C3" w:rsidR="0004445C" w:rsidRDefault="0004445C" w:rsidP="00A71EEC">
            <w:pPr>
              <w:ind w:left="564"/>
              <w:rPr>
                <w:lang w:val="en-GB"/>
              </w:rPr>
            </w:pPr>
            <w:r>
              <w:rPr>
                <w:lang w:val="en-GB"/>
              </w:rPr>
              <w:t>#</w:t>
            </w:r>
            <w:r w:rsidR="00947F8D">
              <w:rPr>
                <w:lang w:val="en-GB"/>
              </w:rPr>
              <w:t xml:space="preserve"> 1A b – Other</w:t>
            </w:r>
          </w:p>
        </w:tc>
        <w:tc>
          <w:tcPr>
            <w:tcW w:w="3679" w:type="dxa"/>
            <w:tcBorders>
              <w:top w:val="single" w:sz="4" w:space="0" w:color="auto"/>
              <w:bottom w:val="single" w:sz="4" w:space="0" w:color="auto"/>
            </w:tcBorders>
          </w:tcPr>
          <w:p w14:paraId="765D1C16" w14:textId="2DA00C74" w:rsidR="0004445C" w:rsidRDefault="00947F8D" w:rsidP="00F43488">
            <w:pPr>
              <w:jc w:val="right"/>
              <w:rPr>
                <w:lang w:val="en-GB"/>
              </w:rPr>
            </w:pPr>
            <w:r>
              <w:rPr>
                <w:lang w:val="en-GB"/>
              </w:rPr>
              <w:t xml:space="preserve">90% </w:t>
            </w:r>
          </w:p>
        </w:tc>
      </w:tr>
      <w:tr w:rsidR="00F43488" w14:paraId="23C85771" w14:textId="77777777" w:rsidTr="000A0FED">
        <w:trPr>
          <w:trHeight w:val="488"/>
        </w:trPr>
        <w:tc>
          <w:tcPr>
            <w:tcW w:w="460" w:type="dxa"/>
            <w:tcBorders>
              <w:top w:val="single" w:sz="4" w:space="0" w:color="auto"/>
              <w:bottom w:val="single" w:sz="4" w:space="0" w:color="auto"/>
            </w:tcBorders>
          </w:tcPr>
          <w:p w14:paraId="0C2DD258" w14:textId="541D5EC8" w:rsidR="00F43488" w:rsidRPr="008C2D57" w:rsidRDefault="00F43488" w:rsidP="00F43488">
            <w:pPr>
              <w:rPr>
                <w:lang w:val="x-none"/>
              </w:rPr>
            </w:pPr>
          </w:p>
        </w:tc>
        <w:tc>
          <w:tcPr>
            <w:tcW w:w="4922" w:type="dxa"/>
            <w:tcBorders>
              <w:top w:val="single" w:sz="4" w:space="0" w:color="auto"/>
              <w:bottom w:val="single" w:sz="4" w:space="0" w:color="auto"/>
            </w:tcBorders>
          </w:tcPr>
          <w:p w14:paraId="54EB268D" w14:textId="7F716810" w:rsidR="00F43488" w:rsidRPr="00F43488" w:rsidRDefault="00F43488" w:rsidP="008C2D57">
            <w:pPr>
              <w:jc w:val="both"/>
              <w:rPr>
                <w:lang w:val="en-GB"/>
              </w:rPr>
            </w:pPr>
            <w:r w:rsidRPr="00F43488">
              <w:rPr>
                <w:lang w:val="x-none"/>
              </w:rPr>
              <w:t>#1B</w:t>
            </w:r>
            <w:r w:rsidRPr="00F43488">
              <w:rPr>
                <w:lang w:val="en-GB"/>
              </w:rPr>
              <w:t xml:space="preserve"> </w:t>
            </w:r>
            <w:r w:rsidR="002B0F9A">
              <w:rPr>
                <w:lang w:val="en-GB"/>
              </w:rPr>
              <w:t>–</w:t>
            </w:r>
            <w:r>
              <w:rPr>
                <w:lang w:val="en-GB"/>
              </w:rPr>
              <w:t xml:space="preserve"> </w:t>
            </w:r>
            <w:r w:rsidR="002B0F9A">
              <w:rPr>
                <w:lang w:val="en-GB"/>
              </w:rPr>
              <w:t>Social</w:t>
            </w:r>
            <w:r w:rsidR="003B5C05">
              <w:rPr>
                <w:lang w:val="en-GB"/>
              </w:rPr>
              <w:t xml:space="preserve"> </w:t>
            </w:r>
            <w:r w:rsidR="000A0FED">
              <w:rPr>
                <w:lang w:val="en-GB"/>
              </w:rPr>
              <w:t xml:space="preserve">– covers </w:t>
            </w:r>
            <w:r w:rsidR="002B0F9A">
              <w:rPr>
                <w:lang w:val="en-GB"/>
              </w:rPr>
              <w:t xml:space="preserve">Sustainable </w:t>
            </w:r>
            <w:r w:rsidRPr="00F43488">
              <w:rPr>
                <w:lang w:val="en-GB"/>
              </w:rPr>
              <w:t xml:space="preserve">Investments with </w:t>
            </w:r>
            <w:r w:rsidR="002B0F9A">
              <w:rPr>
                <w:lang w:val="en-GB"/>
              </w:rPr>
              <w:t>social objective</w:t>
            </w:r>
            <w:r w:rsidRPr="00F43488">
              <w:rPr>
                <w:lang w:val="en-GB"/>
              </w:rPr>
              <w:t>.</w:t>
            </w:r>
          </w:p>
        </w:tc>
        <w:tc>
          <w:tcPr>
            <w:tcW w:w="3679" w:type="dxa"/>
            <w:tcBorders>
              <w:top w:val="single" w:sz="4" w:space="0" w:color="auto"/>
              <w:bottom w:val="single" w:sz="4" w:space="0" w:color="auto"/>
            </w:tcBorders>
          </w:tcPr>
          <w:p w14:paraId="5C32CBFC" w14:textId="26BB6A8E" w:rsidR="00F43488" w:rsidRPr="00A53E57" w:rsidRDefault="00EB2C92" w:rsidP="008C2D57">
            <w:pPr>
              <w:jc w:val="right"/>
              <w:rPr>
                <w:lang w:val="x-none"/>
              </w:rPr>
            </w:pPr>
            <w:r w:rsidRPr="00A53E57">
              <w:rPr>
                <w:lang w:val="en-GB"/>
              </w:rPr>
              <w:t>0</w:t>
            </w:r>
            <w:r w:rsidR="00F43488" w:rsidRPr="00A53E57">
              <w:rPr>
                <w:lang w:val="x-none"/>
              </w:rPr>
              <w:t xml:space="preserve">% </w:t>
            </w:r>
          </w:p>
        </w:tc>
      </w:tr>
      <w:tr w:rsidR="008C2D57" w14:paraId="44671877" w14:textId="77777777" w:rsidTr="000A0FED">
        <w:trPr>
          <w:trHeight w:val="488"/>
        </w:trPr>
        <w:tc>
          <w:tcPr>
            <w:tcW w:w="460" w:type="dxa"/>
            <w:tcBorders>
              <w:top w:val="single" w:sz="4" w:space="0" w:color="auto"/>
              <w:bottom w:val="single" w:sz="4" w:space="0" w:color="auto"/>
            </w:tcBorders>
          </w:tcPr>
          <w:p w14:paraId="4F070113" w14:textId="6210AB89" w:rsidR="008C2D57" w:rsidRDefault="008C2D57" w:rsidP="008C2D57">
            <w:pPr>
              <w:rPr>
                <w:lang w:val="x-none"/>
              </w:rPr>
            </w:pPr>
            <w:r w:rsidRPr="008C2D57">
              <w:rPr>
                <w:lang w:val="x-none"/>
              </w:rPr>
              <w:t>#2</w:t>
            </w:r>
          </w:p>
        </w:tc>
        <w:tc>
          <w:tcPr>
            <w:tcW w:w="4922" w:type="dxa"/>
            <w:tcBorders>
              <w:top w:val="single" w:sz="4" w:space="0" w:color="auto"/>
              <w:bottom w:val="single" w:sz="4" w:space="0" w:color="auto"/>
            </w:tcBorders>
          </w:tcPr>
          <w:p w14:paraId="6CF55A30" w14:textId="7EF3976F" w:rsidR="008C2D57" w:rsidRDefault="00AB7216" w:rsidP="00F43488">
            <w:pPr>
              <w:jc w:val="both"/>
              <w:rPr>
                <w:lang w:val="x-none"/>
              </w:rPr>
            </w:pPr>
            <w:r>
              <w:rPr>
                <w:lang w:val="en-GB"/>
              </w:rPr>
              <w:t xml:space="preserve">Not Sustainable – </w:t>
            </w:r>
            <w:r w:rsidR="008C2D57" w:rsidRPr="008C2D57">
              <w:rPr>
                <w:lang w:val="x-none"/>
              </w:rPr>
              <w:t xml:space="preserve">Other </w:t>
            </w:r>
            <w:r w:rsidR="008C2D57">
              <w:rPr>
                <w:lang w:val="en-GB"/>
              </w:rPr>
              <w:t xml:space="preserve">Investments that </w:t>
            </w:r>
            <w:proofErr w:type="spellStart"/>
            <w:r w:rsidR="008C2D57" w:rsidRPr="008C2D57">
              <w:rPr>
                <w:lang w:val="x-none"/>
              </w:rPr>
              <w:t>include</w:t>
            </w:r>
            <w:proofErr w:type="spellEnd"/>
            <w:r w:rsidR="008C2D57" w:rsidRPr="008C2D57">
              <w:rPr>
                <w:lang w:val="x-none"/>
              </w:rPr>
              <w:t xml:space="preserve"> </w:t>
            </w:r>
            <w:proofErr w:type="spellStart"/>
            <w:r w:rsidR="008C2D57" w:rsidRPr="008C2D57">
              <w:rPr>
                <w:lang w:val="x-none"/>
              </w:rPr>
              <w:t>the</w:t>
            </w:r>
            <w:proofErr w:type="spellEnd"/>
            <w:r w:rsidR="008C2D57" w:rsidRPr="008C2D57">
              <w:rPr>
                <w:lang w:val="x-none"/>
              </w:rPr>
              <w:t xml:space="preserve"> </w:t>
            </w:r>
            <w:proofErr w:type="spellStart"/>
            <w:r w:rsidR="008C2D57" w:rsidRPr="008C2D57">
              <w:rPr>
                <w:lang w:val="x-none"/>
              </w:rPr>
              <w:t>remaining</w:t>
            </w:r>
            <w:proofErr w:type="spellEnd"/>
            <w:r w:rsidR="008C2D57" w:rsidRPr="008C2D57">
              <w:rPr>
                <w:lang w:val="x-none"/>
              </w:rPr>
              <w:t xml:space="preserve"> </w:t>
            </w:r>
            <w:proofErr w:type="spellStart"/>
            <w:r w:rsidR="008C2D57">
              <w:rPr>
                <w:lang w:val="en-GB"/>
              </w:rPr>
              <w:t>i</w:t>
            </w:r>
            <w:r w:rsidR="008C2D57" w:rsidRPr="008C2D57">
              <w:rPr>
                <w:lang w:val="x-none"/>
              </w:rPr>
              <w:t>nvestments</w:t>
            </w:r>
            <w:proofErr w:type="spellEnd"/>
            <w:r w:rsidR="008C2D57" w:rsidRPr="008C2D57">
              <w:rPr>
                <w:lang w:val="x-none"/>
              </w:rPr>
              <w:t xml:space="preserve"> </w:t>
            </w:r>
            <w:proofErr w:type="spellStart"/>
            <w:r w:rsidR="008C2D57" w:rsidRPr="008C2D57">
              <w:rPr>
                <w:lang w:val="x-none"/>
              </w:rPr>
              <w:t>of</w:t>
            </w:r>
            <w:proofErr w:type="spellEnd"/>
            <w:r w:rsidR="008C2D57" w:rsidRPr="008C2D57">
              <w:rPr>
                <w:lang w:val="x-none"/>
              </w:rPr>
              <w:t xml:space="preserve"> </w:t>
            </w:r>
            <w:proofErr w:type="spellStart"/>
            <w:r w:rsidR="008C2D57" w:rsidRPr="008C2D57">
              <w:rPr>
                <w:lang w:val="x-none"/>
              </w:rPr>
              <w:t>the</w:t>
            </w:r>
            <w:proofErr w:type="spellEnd"/>
            <w:r w:rsidR="008C2D57" w:rsidRPr="008C2D57">
              <w:rPr>
                <w:lang w:val="x-none"/>
              </w:rPr>
              <w:t xml:space="preserve"> </w:t>
            </w:r>
            <w:proofErr w:type="spellStart"/>
            <w:r w:rsidR="008C2D57" w:rsidRPr="008C2D57">
              <w:rPr>
                <w:lang w:val="x-none"/>
              </w:rPr>
              <w:t>financial</w:t>
            </w:r>
            <w:proofErr w:type="spellEnd"/>
            <w:r w:rsidR="008C2D57" w:rsidRPr="008C2D57">
              <w:rPr>
                <w:lang w:val="x-none"/>
              </w:rPr>
              <w:t xml:space="preserve"> </w:t>
            </w:r>
            <w:proofErr w:type="spellStart"/>
            <w:r w:rsidR="008C2D57" w:rsidRPr="008C2D57">
              <w:rPr>
                <w:lang w:val="x-none"/>
              </w:rPr>
              <w:t>product</w:t>
            </w:r>
            <w:proofErr w:type="spellEnd"/>
            <w:r w:rsidR="008C2D57" w:rsidRPr="008C2D57">
              <w:rPr>
                <w:lang w:val="x-none"/>
              </w:rPr>
              <w:t xml:space="preserve"> </w:t>
            </w:r>
            <w:proofErr w:type="spellStart"/>
            <w:r w:rsidR="008C2D57" w:rsidRPr="008C2D57">
              <w:rPr>
                <w:lang w:val="x-none"/>
              </w:rPr>
              <w:t>which</w:t>
            </w:r>
            <w:proofErr w:type="spellEnd"/>
            <w:r w:rsidR="008C2D57" w:rsidRPr="008C2D57">
              <w:rPr>
                <w:lang w:val="x-none"/>
              </w:rPr>
              <w:t xml:space="preserve"> </w:t>
            </w:r>
            <w:r>
              <w:rPr>
                <w:lang w:val="en-GB"/>
              </w:rPr>
              <w:t>do not quali</w:t>
            </w:r>
            <w:r w:rsidR="002B0F9A">
              <w:rPr>
                <w:lang w:val="en-GB"/>
              </w:rPr>
              <w:t xml:space="preserve">fy </w:t>
            </w:r>
            <w:proofErr w:type="spellStart"/>
            <w:r w:rsidR="008C2D57" w:rsidRPr="008C2D57">
              <w:rPr>
                <w:lang w:val="x-none"/>
              </w:rPr>
              <w:t>as</w:t>
            </w:r>
            <w:proofErr w:type="spellEnd"/>
            <w:r w:rsidR="008C2D57" w:rsidRPr="008C2D57">
              <w:rPr>
                <w:lang w:val="x-none"/>
              </w:rPr>
              <w:t xml:space="preserve"> </w:t>
            </w:r>
            <w:r w:rsidR="000B5D4D">
              <w:rPr>
                <w:lang w:val="en-GB"/>
              </w:rPr>
              <w:t>S</w:t>
            </w:r>
            <w:proofErr w:type="spellStart"/>
            <w:r w:rsidR="008C2D57" w:rsidRPr="008C2D57">
              <w:rPr>
                <w:lang w:val="x-none"/>
              </w:rPr>
              <w:t>ustainable</w:t>
            </w:r>
            <w:proofErr w:type="spellEnd"/>
            <w:r w:rsidR="008C2D57" w:rsidRPr="008C2D57">
              <w:rPr>
                <w:lang w:val="x-none"/>
              </w:rPr>
              <w:t xml:space="preserve"> </w:t>
            </w:r>
            <w:r w:rsidR="000B5D4D">
              <w:rPr>
                <w:lang w:val="en-GB"/>
              </w:rPr>
              <w:t>I</w:t>
            </w:r>
            <w:proofErr w:type="spellStart"/>
            <w:r w:rsidR="008C2D57" w:rsidRPr="008C2D57">
              <w:rPr>
                <w:lang w:val="x-none"/>
              </w:rPr>
              <w:t>nvestments</w:t>
            </w:r>
            <w:proofErr w:type="spellEnd"/>
          </w:p>
        </w:tc>
        <w:tc>
          <w:tcPr>
            <w:tcW w:w="3679" w:type="dxa"/>
            <w:tcBorders>
              <w:top w:val="single" w:sz="4" w:space="0" w:color="auto"/>
              <w:bottom w:val="single" w:sz="4" w:space="0" w:color="auto"/>
            </w:tcBorders>
          </w:tcPr>
          <w:p w14:paraId="1B91D362" w14:textId="60144593" w:rsidR="008C2D57" w:rsidRDefault="002B0F9A" w:rsidP="00F43488">
            <w:pPr>
              <w:jc w:val="right"/>
              <w:rPr>
                <w:lang w:val="x-none"/>
              </w:rPr>
            </w:pPr>
            <w:r>
              <w:rPr>
                <w:lang w:val="en-GB"/>
              </w:rPr>
              <w:t>1</w:t>
            </w:r>
            <w:r w:rsidR="008C2D57" w:rsidRPr="008C2D57">
              <w:rPr>
                <w:lang w:val="x-none"/>
              </w:rPr>
              <w:t>0%</w:t>
            </w:r>
          </w:p>
        </w:tc>
      </w:tr>
      <w:tr w:rsidR="00B62810" w14:paraId="016032DE" w14:textId="77777777" w:rsidTr="000A0FED">
        <w:trPr>
          <w:trHeight w:val="488"/>
        </w:trPr>
        <w:tc>
          <w:tcPr>
            <w:tcW w:w="460" w:type="dxa"/>
            <w:tcBorders>
              <w:top w:val="single" w:sz="4" w:space="0" w:color="auto"/>
            </w:tcBorders>
          </w:tcPr>
          <w:p w14:paraId="385035BB" w14:textId="628C1FA7" w:rsidR="00B62810" w:rsidRPr="008C2D57" w:rsidRDefault="00B62810" w:rsidP="008C2D57">
            <w:pPr>
              <w:rPr>
                <w:lang w:val="x-none"/>
              </w:rPr>
            </w:pPr>
          </w:p>
        </w:tc>
        <w:tc>
          <w:tcPr>
            <w:tcW w:w="4922" w:type="dxa"/>
            <w:tcBorders>
              <w:top w:val="single" w:sz="4" w:space="0" w:color="auto"/>
            </w:tcBorders>
          </w:tcPr>
          <w:p w14:paraId="782A1AED" w14:textId="3E0E313B" w:rsidR="000A0FED" w:rsidRPr="000A0FED" w:rsidRDefault="000A0FED" w:rsidP="00F43488">
            <w:pPr>
              <w:jc w:val="both"/>
              <w:rPr>
                <w:lang w:val="en-GB"/>
              </w:rPr>
            </w:pPr>
          </w:p>
        </w:tc>
        <w:tc>
          <w:tcPr>
            <w:tcW w:w="3679" w:type="dxa"/>
            <w:tcBorders>
              <w:top w:val="single" w:sz="4" w:space="0" w:color="auto"/>
            </w:tcBorders>
          </w:tcPr>
          <w:p w14:paraId="0257E7B1" w14:textId="77777777" w:rsidR="00B62810" w:rsidRPr="008C2D57" w:rsidRDefault="00B62810" w:rsidP="00F43488">
            <w:pPr>
              <w:jc w:val="right"/>
              <w:rPr>
                <w:lang w:val="x-none"/>
              </w:rPr>
            </w:pPr>
          </w:p>
        </w:tc>
      </w:tr>
    </w:tbl>
    <w:p w14:paraId="69571A37" w14:textId="3E326C0B" w:rsidR="000A0FED" w:rsidRDefault="000A0FED" w:rsidP="006C4130">
      <w:pPr>
        <w:pStyle w:val="Heading1"/>
        <w:numPr>
          <w:ilvl w:val="0"/>
          <w:numId w:val="26"/>
        </w:numPr>
        <w:ind w:left="709"/>
        <w:rPr>
          <w:sz w:val="22"/>
          <w:szCs w:val="22"/>
          <w:lang w:val="en-GB"/>
        </w:rPr>
      </w:pPr>
      <w:r w:rsidRPr="000A0FED">
        <w:rPr>
          <w:sz w:val="22"/>
          <w:szCs w:val="22"/>
          <w:lang w:val="en-GB"/>
        </w:rPr>
        <w:t>Alignment with the Taxonomy</w:t>
      </w:r>
      <w:r w:rsidR="000B5D4D">
        <w:rPr>
          <w:sz w:val="22"/>
          <w:szCs w:val="22"/>
          <w:lang w:val="en-GB"/>
        </w:rPr>
        <w:t xml:space="preserve"> Regulation</w:t>
      </w:r>
    </w:p>
    <w:p w14:paraId="1ACE322C" w14:textId="6E014C20" w:rsidR="001306E6" w:rsidRPr="001306E6" w:rsidRDefault="001306E6" w:rsidP="001306E6">
      <w:pPr>
        <w:spacing w:after="200" w:line="276" w:lineRule="auto"/>
        <w:jc w:val="both"/>
        <w:rPr>
          <w:sz w:val="22"/>
          <w:szCs w:val="22"/>
          <w:lang w:val="en-GB"/>
        </w:rPr>
      </w:pPr>
      <w:r w:rsidRPr="001306E6">
        <w:rPr>
          <w:sz w:val="22"/>
          <w:szCs w:val="22"/>
          <w:lang w:val="en-GB"/>
        </w:rPr>
        <w:t xml:space="preserve">The investments underlying this Fund which are </w:t>
      </w:r>
      <w:r w:rsidR="00817C26">
        <w:rPr>
          <w:sz w:val="22"/>
          <w:szCs w:val="22"/>
          <w:lang w:val="en-GB"/>
        </w:rPr>
        <w:t>S</w:t>
      </w:r>
      <w:r w:rsidRPr="001306E6">
        <w:rPr>
          <w:sz w:val="22"/>
          <w:szCs w:val="22"/>
          <w:lang w:val="en-GB"/>
        </w:rPr>
        <w:t>ustainable</w:t>
      </w:r>
      <w:r w:rsidR="00817C26">
        <w:rPr>
          <w:sz w:val="22"/>
          <w:szCs w:val="22"/>
          <w:lang w:val="en-GB"/>
        </w:rPr>
        <w:t xml:space="preserve"> I</w:t>
      </w:r>
      <w:r w:rsidRPr="001306E6">
        <w:rPr>
          <w:sz w:val="22"/>
          <w:szCs w:val="22"/>
          <w:lang w:val="en-GB"/>
        </w:rPr>
        <w:t xml:space="preserve">nvestments would qualify as environmentally sustainable under SFDR, however they do not </w:t>
      </w:r>
      <w:proofErr w:type="gramStart"/>
      <w:r w:rsidRPr="001306E6">
        <w:rPr>
          <w:sz w:val="22"/>
          <w:szCs w:val="22"/>
          <w:lang w:val="en-GB"/>
        </w:rPr>
        <w:t>take into account</w:t>
      </w:r>
      <w:proofErr w:type="gramEnd"/>
      <w:r w:rsidRPr="001306E6">
        <w:rPr>
          <w:sz w:val="22"/>
          <w:szCs w:val="22"/>
          <w:lang w:val="en-GB"/>
        </w:rPr>
        <w:t xml:space="preserve"> the EU criteria for environmentally sustainable economic activities.</w:t>
      </w:r>
    </w:p>
    <w:p w14:paraId="73678604" w14:textId="43E86B49" w:rsidR="001306E6" w:rsidRPr="001306E6" w:rsidRDefault="001306E6" w:rsidP="001306E6">
      <w:pPr>
        <w:spacing w:after="200" w:line="276" w:lineRule="auto"/>
        <w:jc w:val="both"/>
        <w:rPr>
          <w:sz w:val="22"/>
          <w:szCs w:val="22"/>
          <w:lang w:val="en-GB"/>
        </w:rPr>
      </w:pPr>
      <w:r w:rsidRPr="001306E6">
        <w:rPr>
          <w:sz w:val="22"/>
          <w:szCs w:val="22"/>
          <w:lang w:val="en-GB"/>
        </w:rPr>
        <w:t xml:space="preserve">The Fund has sustainable investments as its objective. The Fund’s investments are qualified as environmentally sustainable under SFDR. However, these </w:t>
      </w:r>
      <w:r w:rsidR="00817C26">
        <w:rPr>
          <w:sz w:val="22"/>
          <w:szCs w:val="22"/>
          <w:lang w:val="en-GB"/>
        </w:rPr>
        <w:t>S</w:t>
      </w:r>
      <w:r w:rsidRPr="001306E6">
        <w:rPr>
          <w:sz w:val="22"/>
          <w:szCs w:val="22"/>
          <w:lang w:val="en-GB"/>
        </w:rPr>
        <w:t xml:space="preserve">ustainable </w:t>
      </w:r>
      <w:r w:rsidR="00817C26">
        <w:rPr>
          <w:sz w:val="22"/>
          <w:szCs w:val="22"/>
          <w:lang w:val="en-GB"/>
        </w:rPr>
        <w:t>I</w:t>
      </w:r>
      <w:r w:rsidRPr="001306E6">
        <w:rPr>
          <w:sz w:val="22"/>
          <w:szCs w:val="22"/>
          <w:lang w:val="en-GB"/>
        </w:rPr>
        <w:t xml:space="preserve">nvestments do not commit to contributing substantially to one or more of the environmental objectives as defined by the Taxonomy Regulation.  </w:t>
      </w:r>
    </w:p>
    <w:p w14:paraId="6B1AD565" w14:textId="77777777" w:rsidR="00E40F22" w:rsidRPr="00E40F22" w:rsidRDefault="001306E6" w:rsidP="00E40F22">
      <w:pPr>
        <w:pStyle w:val="Heading1"/>
        <w:rPr>
          <w:b w:val="0"/>
          <w:bCs w:val="0"/>
          <w:sz w:val="22"/>
          <w:szCs w:val="22"/>
          <w:lang w:val="en-GB"/>
        </w:rPr>
      </w:pPr>
      <w:r w:rsidRPr="00E40F22">
        <w:rPr>
          <w:b w:val="0"/>
          <w:bCs w:val="0"/>
          <w:sz w:val="22"/>
          <w:szCs w:val="22"/>
          <w:lang w:val="en-GB"/>
        </w:rPr>
        <w:t>The “do not significant harm” principles, within the meaning of Art. 5 of Taxonomy Regulation, applies only to those investments underlying the financial products that take into account the EU criteria for environmentally sustainable objectives, and does not apply to the Fund’s investments.</w:t>
      </w:r>
      <w:r w:rsidR="00893DB5" w:rsidRPr="00E40F22">
        <w:rPr>
          <w:b w:val="0"/>
          <w:bCs w:val="0"/>
          <w:sz w:val="22"/>
          <w:szCs w:val="22"/>
          <w:lang w:val="en-GB"/>
        </w:rPr>
        <w:t xml:space="preserve"> </w:t>
      </w:r>
    </w:p>
    <w:p w14:paraId="702F56C8" w14:textId="37DB1754" w:rsidR="009312B4" w:rsidRPr="008049D2" w:rsidRDefault="009312B4" w:rsidP="006C4130">
      <w:pPr>
        <w:pStyle w:val="Heading1"/>
        <w:numPr>
          <w:ilvl w:val="0"/>
          <w:numId w:val="26"/>
        </w:numPr>
        <w:ind w:left="709"/>
        <w:rPr>
          <w:sz w:val="22"/>
          <w:szCs w:val="22"/>
          <w:lang w:val="en-GB"/>
        </w:rPr>
      </w:pPr>
      <w:r w:rsidRPr="008049D2">
        <w:rPr>
          <w:sz w:val="22"/>
          <w:szCs w:val="22"/>
          <w:lang w:val="en-GB"/>
        </w:rPr>
        <w:t xml:space="preserve">Monitoring of </w:t>
      </w:r>
      <w:r w:rsidR="00A50C8B">
        <w:rPr>
          <w:sz w:val="22"/>
          <w:szCs w:val="22"/>
          <w:lang w:val="en-GB"/>
        </w:rPr>
        <w:t>sustainable investment objective</w:t>
      </w:r>
      <w:r w:rsidR="00C9230F">
        <w:rPr>
          <w:sz w:val="22"/>
          <w:szCs w:val="22"/>
          <w:lang w:val="en-GB"/>
        </w:rPr>
        <w:t xml:space="preserve"> </w:t>
      </w:r>
    </w:p>
    <w:p w14:paraId="1E00E6AC" w14:textId="5159B21D" w:rsidR="00585CEC" w:rsidRDefault="008653E3" w:rsidP="00585CEC">
      <w:pPr>
        <w:spacing w:after="200" w:line="276" w:lineRule="auto"/>
        <w:jc w:val="both"/>
        <w:rPr>
          <w:sz w:val="22"/>
          <w:szCs w:val="22"/>
          <w:lang w:val="en-GB"/>
        </w:rPr>
      </w:pPr>
      <w:r w:rsidRPr="008653E3">
        <w:rPr>
          <w:sz w:val="22"/>
          <w:szCs w:val="22"/>
          <w:lang w:val="en-GB"/>
        </w:rPr>
        <w:t xml:space="preserve">The objective of the Fund is to invest in environmental assets, qualified as </w:t>
      </w:r>
      <w:r w:rsidR="00817C26">
        <w:rPr>
          <w:sz w:val="22"/>
          <w:szCs w:val="22"/>
          <w:lang w:val="en-GB"/>
        </w:rPr>
        <w:t>S</w:t>
      </w:r>
      <w:r w:rsidRPr="008653E3">
        <w:rPr>
          <w:sz w:val="22"/>
          <w:szCs w:val="22"/>
          <w:lang w:val="en-GB"/>
        </w:rPr>
        <w:t xml:space="preserve">ustainable </w:t>
      </w:r>
      <w:r w:rsidR="00817C26">
        <w:rPr>
          <w:sz w:val="22"/>
          <w:szCs w:val="22"/>
          <w:lang w:val="en-GB"/>
        </w:rPr>
        <w:t>I</w:t>
      </w:r>
      <w:r w:rsidRPr="008653E3">
        <w:rPr>
          <w:sz w:val="22"/>
          <w:szCs w:val="22"/>
          <w:lang w:val="en-GB"/>
        </w:rPr>
        <w:t>nvestment</w:t>
      </w:r>
      <w:r w:rsidR="00657AD3">
        <w:rPr>
          <w:sz w:val="22"/>
          <w:szCs w:val="22"/>
          <w:lang w:val="en-GB"/>
        </w:rPr>
        <w:t>s</w:t>
      </w:r>
      <w:r w:rsidRPr="008653E3">
        <w:rPr>
          <w:sz w:val="22"/>
          <w:szCs w:val="22"/>
          <w:lang w:val="en-GB"/>
        </w:rPr>
        <w:t xml:space="preserve"> under SFDR.</w:t>
      </w:r>
      <w:r>
        <w:rPr>
          <w:sz w:val="22"/>
          <w:szCs w:val="22"/>
          <w:lang w:val="en-GB"/>
        </w:rPr>
        <w:t xml:space="preserve"> </w:t>
      </w:r>
      <w:r w:rsidR="0058344C" w:rsidRPr="0058344C">
        <w:rPr>
          <w:sz w:val="22"/>
          <w:szCs w:val="22"/>
          <w:lang w:val="en-GB"/>
        </w:rPr>
        <w:t xml:space="preserve">The Manager will do a </w:t>
      </w:r>
      <w:bookmarkStart w:id="7" w:name="_Hlk65705090"/>
      <w:r w:rsidR="0058344C" w:rsidRPr="0058344C">
        <w:rPr>
          <w:sz w:val="22"/>
          <w:szCs w:val="22"/>
          <w:lang w:val="en-GB"/>
        </w:rPr>
        <w:t xml:space="preserve">qualitative assessment of sustainability </w:t>
      </w:r>
      <w:bookmarkEnd w:id="7"/>
      <w:r w:rsidR="0058344C" w:rsidRPr="0058344C">
        <w:rPr>
          <w:sz w:val="22"/>
          <w:szCs w:val="22"/>
          <w:lang w:val="en-GB"/>
        </w:rPr>
        <w:t xml:space="preserve">indicators on a regular basis. In particular, the Manager will assess any potential </w:t>
      </w:r>
      <w:r w:rsidR="00666FD3">
        <w:rPr>
          <w:sz w:val="22"/>
          <w:szCs w:val="22"/>
          <w:lang w:val="en-GB"/>
        </w:rPr>
        <w:t>t</w:t>
      </w:r>
      <w:r w:rsidR="0058344C" w:rsidRPr="0058344C">
        <w:rPr>
          <w:sz w:val="22"/>
          <w:szCs w:val="22"/>
          <w:lang w:val="en-GB"/>
        </w:rPr>
        <w:t xml:space="preserve">arget </w:t>
      </w:r>
      <w:r w:rsidR="00594488">
        <w:rPr>
          <w:sz w:val="22"/>
          <w:szCs w:val="22"/>
          <w:lang w:val="en-GB"/>
        </w:rPr>
        <w:t>i</w:t>
      </w:r>
      <w:r w:rsidR="0058344C" w:rsidRPr="0058344C">
        <w:rPr>
          <w:sz w:val="22"/>
          <w:szCs w:val="22"/>
          <w:lang w:val="en-GB"/>
        </w:rPr>
        <w:t xml:space="preserve">nvestment against the </w:t>
      </w:r>
      <w:r w:rsidR="00B46679">
        <w:rPr>
          <w:sz w:val="22"/>
          <w:szCs w:val="22"/>
          <w:lang w:val="en-GB"/>
        </w:rPr>
        <w:t>SDGs</w:t>
      </w:r>
      <w:r w:rsidR="0058344C" w:rsidRPr="0058344C">
        <w:rPr>
          <w:sz w:val="22"/>
          <w:szCs w:val="22"/>
          <w:lang w:val="en-GB"/>
        </w:rPr>
        <w:t xml:space="preserve">. </w:t>
      </w:r>
    </w:p>
    <w:p w14:paraId="1658A34E" w14:textId="140EFCB2" w:rsidR="0058344C" w:rsidRDefault="0058344C" w:rsidP="00585CEC">
      <w:pPr>
        <w:spacing w:after="200" w:line="276" w:lineRule="auto"/>
        <w:jc w:val="both"/>
        <w:rPr>
          <w:sz w:val="22"/>
          <w:szCs w:val="22"/>
          <w:lang w:val="en-GB"/>
        </w:rPr>
      </w:pPr>
      <w:r w:rsidRPr="0058344C">
        <w:rPr>
          <w:sz w:val="22"/>
          <w:szCs w:val="22"/>
          <w:lang w:val="en-GB"/>
        </w:rPr>
        <w:t>The Manager will actively monitor sustainability indicators and ESG incidents and will review ESG progress on an annual basis.</w:t>
      </w:r>
    </w:p>
    <w:p w14:paraId="1F8944AC" w14:textId="7D919255" w:rsidR="00603777" w:rsidRPr="008049D2" w:rsidRDefault="00603777" w:rsidP="001E6FD1">
      <w:pPr>
        <w:pStyle w:val="ListParagraph"/>
        <w:spacing w:after="200" w:line="276" w:lineRule="auto"/>
        <w:ind w:left="0"/>
        <w:jc w:val="both"/>
        <w:rPr>
          <w:sz w:val="22"/>
          <w:szCs w:val="22"/>
          <w:lang w:val="en-GB"/>
        </w:rPr>
      </w:pPr>
      <w:r w:rsidRPr="008049D2">
        <w:rPr>
          <w:sz w:val="22"/>
          <w:szCs w:val="22"/>
          <w:lang w:val="en-GB"/>
        </w:rPr>
        <w:t xml:space="preserve">The Manager follows dedicated processes in deciding from a responsible investment perspective whether it is appropriate to invest in a company or other asset. The Manager applies specific tools </w:t>
      </w:r>
      <w:r w:rsidRPr="008049D2">
        <w:rPr>
          <w:sz w:val="22"/>
          <w:szCs w:val="22"/>
          <w:lang w:val="en-GB"/>
        </w:rPr>
        <w:lastRenderedPageBreak/>
        <w:t xml:space="preserve">and processes to ensure a thorough integration of ESG factors. Furthermore, the Manager shall monitor the </w:t>
      </w:r>
      <w:r w:rsidR="00267235">
        <w:rPr>
          <w:sz w:val="22"/>
          <w:szCs w:val="22"/>
          <w:lang w:val="en-GB"/>
        </w:rPr>
        <w:t>I</w:t>
      </w:r>
      <w:r w:rsidRPr="008049D2">
        <w:rPr>
          <w:sz w:val="22"/>
          <w:szCs w:val="22"/>
          <w:lang w:val="en-GB"/>
        </w:rPr>
        <w:t>nvestments on an ongoing basis to ensure any potential ESG issues are quickly identified.</w:t>
      </w:r>
    </w:p>
    <w:p w14:paraId="3F19F333" w14:textId="77777777" w:rsidR="00866466" w:rsidRDefault="00866466" w:rsidP="001E6FD1">
      <w:pPr>
        <w:pStyle w:val="ListParagraph"/>
        <w:spacing w:after="200" w:line="276" w:lineRule="auto"/>
        <w:ind w:left="0"/>
        <w:jc w:val="both"/>
        <w:rPr>
          <w:sz w:val="22"/>
          <w:szCs w:val="22"/>
          <w:lang w:val="en-GB"/>
        </w:rPr>
      </w:pPr>
    </w:p>
    <w:p w14:paraId="2653DEA3" w14:textId="24792EBA" w:rsidR="00B06F65" w:rsidRPr="008049D2" w:rsidRDefault="009312B4" w:rsidP="006C4130">
      <w:pPr>
        <w:pStyle w:val="Heading1"/>
        <w:numPr>
          <w:ilvl w:val="0"/>
          <w:numId w:val="26"/>
        </w:numPr>
        <w:ind w:left="709"/>
        <w:rPr>
          <w:sz w:val="22"/>
          <w:szCs w:val="22"/>
          <w:lang w:val="en-GB"/>
        </w:rPr>
      </w:pPr>
      <w:r w:rsidRPr="008049D2">
        <w:rPr>
          <w:sz w:val="22"/>
          <w:szCs w:val="22"/>
          <w:lang w:val="en-GB"/>
        </w:rPr>
        <w:t>Methodologies</w:t>
      </w:r>
      <w:r w:rsidR="003F200D">
        <w:rPr>
          <w:sz w:val="22"/>
          <w:szCs w:val="22"/>
          <w:lang w:val="en-GB"/>
        </w:rPr>
        <w:t xml:space="preserve"> </w:t>
      </w:r>
    </w:p>
    <w:p w14:paraId="3835B303" w14:textId="74535B15" w:rsidR="000429F9" w:rsidRDefault="000429F9" w:rsidP="000429F9">
      <w:pPr>
        <w:pStyle w:val="ListParagraph"/>
        <w:spacing w:after="200" w:line="276" w:lineRule="auto"/>
        <w:ind w:left="0"/>
        <w:jc w:val="both"/>
        <w:rPr>
          <w:sz w:val="22"/>
          <w:szCs w:val="22"/>
          <w:lang w:val="en-GB"/>
        </w:rPr>
      </w:pPr>
      <w:r>
        <w:rPr>
          <w:sz w:val="22"/>
          <w:szCs w:val="22"/>
          <w:lang w:val="en-GB"/>
        </w:rPr>
        <w:t>The Manager’s</w:t>
      </w:r>
      <w:r w:rsidRPr="000429F9">
        <w:rPr>
          <w:sz w:val="22"/>
          <w:szCs w:val="22"/>
          <w:lang w:val="en-GB"/>
        </w:rPr>
        <w:t xml:space="preserve"> impact and ESG assessment and management methodology is based on the following tools:</w:t>
      </w:r>
      <w:r w:rsidR="00A621D8">
        <w:rPr>
          <w:sz w:val="22"/>
          <w:szCs w:val="22"/>
          <w:lang w:val="en-GB"/>
        </w:rPr>
        <w:t xml:space="preserve"> </w:t>
      </w:r>
    </w:p>
    <w:p w14:paraId="2E8A5220" w14:textId="77777777" w:rsidR="000429F9" w:rsidRPr="000429F9" w:rsidRDefault="000429F9" w:rsidP="000429F9">
      <w:pPr>
        <w:pStyle w:val="ListParagraph"/>
        <w:spacing w:after="200" w:line="276" w:lineRule="auto"/>
        <w:ind w:left="0"/>
        <w:jc w:val="both"/>
        <w:rPr>
          <w:sz w:val="22"/>
          <w:szCs w:val="22"/>
          <w:lang w:val="en-GB"/>
        </w:rPr>
      </w:pPr>
    </w:p>
    <w:p w14:paraId="2888724A" w14:textId="08D1882A" w:rsidR="000429F9" w:rsidRPr="000429F9" w:rsidRDefault="000429F9" w:rsidP="000429F9">
      <w:pPr>
        <w:pStyle w:val="ListParagraph"/>
        <w:numPr>
          <w:ilvl w:val="0"/>
          <w:numId w:val="42"/>
        </w:numPr>
        <w:spacing w:after="200" w:line="276" w:lineRule="auto"/>
        <w:jc w:val="both"/>
        <w:rPr>
          <w:sz w:val="22"/>
          <w:szCs w:val="22"/>
          <w:lang w:val="en-GB"/>
        </w:rPr>
      </w:pPr>
      <w:r w:rsidRPr="000429F9">
        <w:rPr>
          <w:sz w:val="22"/>
          <w:szCs w:val="22"/>
          <w:lang w:val="en-GB"/>
        </w:rPr>
        <w:t>Impact Management Project</w:t>
      </w:r>
      <w:r>
        <w:rPr>
          <w:sz w:val="22"/>
          <w:szCs w:val="22"/>
          <w:lang w:val="en-GB"/>
        </w:rPr>
        <w:t xml:space="preserve"> </w:t>
      </w:r>
    </w:p>
    <w:p w14:paraId="3A927AAC" w14:textId="1595686F" w:rsidR="000429F9" w:rsidRPr="000429F9" w:rsidRDefault="000429F9" w:rsidP="000429F9">
      <w:pPr>
        <w:spacing w:after="200" w:line="276" w:lineRule="auto"/>
        <w:jc w:val="both"/>
        <w:rPr>
          <w:sz w:val="22"/>
          <w:szCs w:val="22"/>
          <w:lang w:val="en-GB"/>
        </w:rPr>
      </w:pPr>
      <w:r w:rsidRPr="000429F9">
        <w:rPr>
          <w:sz w:val="22"/>
          <w:szCs w:val="22"/>
          <w:lang w:val="en-GB"/>
        </w:rPr>
        <w:t>The Impact Management Project ("</w:t>
      </w:r>
      <w:r w:rsidRPr="00B971E6">
        <w:rPr>
          <w:b/>
          <w:bCs/>
          <w:sz w:val="22"/>
          <w:szCs w:val="22"/>
          <w:lang w:val="en-GB"/>
        </w:rPr>
        <w:t>IMP</w:t>
      </w:r>
      <w:r w:rsidRPr="000429F9">
        <w:rPr>
          <w:sz w:val="22"/>
          <w:szCs w:val="22"/>
          <w:lang w:val="en-GB"/>
        </w:rPr>
        <w:t xml:space="preserve">") is a working group of over 700 practitioners from across geographies and disciplines. The group establishes consensus on how the impact investing industry talks about, measures and manages impact, bridging the perspectives of investment, grant-making, business, non-profits, social science, evaluation, wealth management, policy, standards bodies and accounting (among others). The approach has been global, open and iterative through in-person and virtual sessions. </w:t>
      </w:r>
    </w:p>
    <w:p w14:paraId="2078E0A4" w14:textId="79A49C81" w:rsidR="000429F9" w:rsidRDefault="000429F9" w:rsidP="000429F9">
      <w:pPr>
        <w:pStyle w:val="ListParagraph"/>
        <w:spacing w:after="200" w:line="276" w:lineRule="auto"/>
        <w:ind w:left="0"/>
        <w:jc w:val="both"/>
        <w:rPr>
          <w:sz w:val="22"/>
          <w:szCs w:val="22"/>
          <w:lang w:val="en-GB"/>
        </w:rPr>
      </w:pPr>
      <w:r>
        <w:rPr>
          <w:sz w:val="22"/>
          <w:szCs w:val="22"/>
          <w:lang w:val="en-GB"/>
        </w:rPr>
        <w:t>The Manager</w:t>
      </w:r>
      <w:r w:rsidRPr="000429F9">
        <w:rPr>
          <w:sz w:val="22"/>
          <w:szCs w:val="22"/>
          <w:lang w:val="en-GB"/>
        </w:rPr>
        <w:t xml:space="preserve"> actively contribute</w:t>
      </w:r>
      <w:r>
        <w:rPr>
          <w:sz w:val="22"/>
          <w:szCs w:val="22"/>
          <w:lang w:val="en-GB"/>
        </w:rPr>
        <w:t>s</w:t>
      </w:r>
      <w:r w:rsidRPr="000429F9">
        <w:rPr>
          <w:sz w:val="22"/>
          <w:szCs w:val="22"/>
          <w:lang w:val="en-GB"/>
        </w:rPr>
        <w:t xml:space="preserve"> to the development of this industry-wide framework and is one of the first global impact investment firms which has adopted and integrated the work and findings of IMP in its due diligence process. </w:t>
      </w:r>
    </w:p>
    <w:p w14:paraId="3B150ABB" w14:textId="77777777" w:rsidR="000429F9" w:rsidRPr="000429F9" w:rsidRDefault="000429F9" w:rsidP="000429F9">
      <w:pPr>
        <w:pStyle w:val="ListParagraph"/>
        <w:spacing w:after="200" w:line="276" w:lineRule="auto"/>
        <w:ind w:left="0"/>
        <w:jc w:val="both"/>
        <w:rPr>
          <w:sz w:val="22"/>
          <w:szCs w:val="22"/>
          <w:lang w:val="en-GB"/>
        </w:rPr>
      </w:pPr>
    </w:p>
    <w:p w14:paraId="0F4E30BA" w14:textId="60E57EF4" w:rsidR="000429F9" w:rsidRPr="000429F9" w:rsidRDefault="000429F9" w:rsidP="000429F9">
      <w:pPr>
        <w:pStyle w:val="ListParagraph"/>
        <w:numPr>
          <w:ilvl w:val="0"/>
          <w:numId w:val="42"/>
        </w:numPr>
        <w:spacing w:after="200" w:line="276" w:lineRule="auto"/>
        <w:jc w:val="both"/>
        <w:rPr>
          <w:sz w:val="22"/>
          <w:szCs w:val="22"/>
          <w:lang w:val="en-GB"/>
        </w:rPr>
      </w:pPr>
      <w:r w:rsidRPr="000429F9">
        <w:rPr>
          <w:sz w:val="22"/>
          <w:szCs w:val="22"/>
          <w:lang w:val="en-GB"/>
        </w:rPr>
        <w:t>Logic Model ("</w:t>
      </w:r>
      <w:r w:rsidRPr="00B971E6">
        <w:rPr>
          <w:b/>
          <w:bCs/>
          <w:sz w:val="22"/>
          <w:szCs w:val="22"/>
          <w:lang w:val="en-GB"/>
        </w:rPr>
        <w:t>Theory of Change</w:t>
      </w:r>
      <w:r w:rsidRPr="000429F9">
        <w:rPr>
          <w:sz w:val="22"/>
          <w:szCs w:val="22"/>
          <w:lang w:val="en-GB"/>
        </w:rPr>
        <w:t>")</w:t>
      </w:r>
    </w:p>
    <w:p w14:paraId="61B578D8" w14:textId="77777777" w:rsidR="000429F9" w:rsidRPr="000429F9" w:rsidRDefault="000429F9" w:rsidP="000429F9">
      <w:pPr>
        <w:spacing w:after="200" w:line="276" w:lineRule="auto"/>
        <w:jc w:val="both"/>
        <w:rPr>
          <w:sz w:val="22"/>
          <w:szCs w:val="22"/>
          <w:lang w:val="en-GB"/>
        </w:rPr>
      </w:pPr>
      <w:r w:rsidRPr="000429F9">
        <w:rPr>
          <w:sz w:val="22"/>
          <w:szCs w:val="22"/>
          <w:lang w:val="en-GB"/>
        </w:rPr>
        <w:t>A Logic Model (also known as "</w:t>
      </w:r>
      <w:r w:rsidRPr="00B971E6">
        <w:rPr>
          <w:b/>
          <w:bCs/>
          <w:sz w:val="22"/>
          <w:szCs w:val="22"/>
          <w:lang w:val="en-GB"/>
        </w:rPr>
        <w:t>Theory of Change</w:t>
      </w:r>
      <w:r w:rsidRPr="000429F9">
        <w:rPr>
          <w:sz w:val="22"/>
          <w:szCs w:val="22"/>
          <w:lang w:val="en-GB"/>
        </w:rPr>
        <w:t>") is a tool used by funders, managers and evaluators of development programs to evaluate the effectiveness of a program or intervention. Logic models are usually a graphical depiction of the logical relationships between the resources, activities, outputs and outcomes of a program. For more information please see W.K. Kellogg Foundation, "Logic Model Development Guide".</w:t>
      </w:r>
    </w:p>
    <w:p w14:paraId="09E9DF5F" w14:textId="55F2A746" w:rsidR="000429F9" w:rsidRPr="000429F9" w:rsidRDefault="000429F9" w:rsidP="000429F9">
      <w:pPr>
        <w:spacing w:after="200" w:line="276" w:lineRule="auto"/>
        <w:jc w:val="both"/>
        <w:rPr>
          <w:sz w:val="22"/>
          <w:szCs w:val="22"/>
          <w:lang w:val="en-GB"/>
        </w:rPr>
      </w:pPr>
      <w:r w:rsidRPr="000429F9">
        <w:rPr>
          <w:sz w:val="22"/>
          <w:szCs w:val="22"/>
          <w:lang w:val="en-GB"/>
        </w:rPr>
        <w:t xml:space="preserve">While there are many ways in which logic models are used, </w:t>
      </w:r>
      <w:r>
        <w:rPr>
          <w:sz w:val="22"/>
          <w:szCs w:val="22"/>
          <w:lang w:val="en-GB"/>
        </w:rPr>
        <w:t>the Manager</w:t>
      </w:r>
      <w:r w:rsidRPr="000429F9">
        <w:rPr>
          <w:sz w:val="22"/>
          <w:szCs w:val="22"/>
          <w:lang w:val="en-GB"/>
        </w:rPr>
        <w:t xml:space="preserve"> uses logic models to:</w:t>
      </w:r>
    </w:p>
    <w:p w14:paraId="6C2AFE60" w14:textId="77777777" w:rsidR="000429F9" w:rsidRPr="000429F9" w:rsidRDefault="000429F9" w:rsidP="000429F9">
      <w:pPr>
        <w:pStyle w:val="ListParagraph"/>
        <w:numPr>
          <w:ilvl w:val="0"/>
          <w:numId w:val="43"/>
        </w:numPr>
        <w:spacing w:after="200" w:line="276" w:lineRule="auto"/>
        <w:jc w:val="both"/>
        <w:rPr>
          <w:sz w:val="22"/>
          <w:szCs w:val="22"/>
          <w:lang w:val="en-GB"/>
        </w:rPr>
      </w:pPr>
      <w:r w:rsidRPr="000429F9">
        <w:rPr>
          <w:sz w:val="22"/>
          <w:szCs w:val="22"/>
          <w:lang w:val="en-GB"/>
        </w:rPr>
        <w:t>assess the causal relationships between inputs, outputs, short-term outcomes and long-term outcomes (impact) of an investment</w:t>
      </w:r>
    </w:p>
    <w:p w14:paraId="486D91ED" w14:textId="77777777" w:rsidR="000429F9" w:rsidRPr="000429F9" w:rsidRDefault="000429F9" w:rsidP="000429F9">
      <w:pPr>
        <w:pStyle w:val="ListParagraph"/>
        <w:numPr>
          <w:ilvl w:val="0"/>
          <w:numId w:val="43"/>
        </w:numPr>
        <w:spacing w:after="200" w:line="276" w:lineRule="auto"/>
        <w:jc w:val="both"/>
        <w:rPr>
          <w:sz w:val="22"/>
          <w:szCs w:val="22"/>
          <w:lang w:val="en-GB"/>
        </w:rPr>
      </w:pPr>
      <w:r w:rsidRPr="000429F9">
        <w:rPr>
          <w:sz w:val="22"/>
          <w:szCs w:val="22"/>
          <w:lang w:val="en-GB"/>
        </w:rPr>
        <w:t>link measurable outputs of an organization to the SDTs/SDGs</w:t>
      </w:r>
    </w:p>
    <w:p w14:paraId="2E83FE0D" w14:textId="3BFC9ED8" w:rsidR="000429F9" w:rsidRDefault="000429F9" w:rsidP="000429F9">
      <w:pPr>
        <w:pStyle w:val="ListParagraph"/>
        <w:numPr>
          <w:ilvl w:val="0"/>
          <w:numId w:val="43"/>
        </w:numPr>
        <w:spacing w:after="200" w:line="276" w:lineRule="auto"/>
        <w:jc w:val="both"/>
        <w:rPr>
          <w:sz w:val="22"/>
          <w:szCs w:val="22"/>
          <w:lang w:val="en-GB"/>
        </w:rPr>
      </w:pPr>
      <w:r w:rsidRPr="000429F9">
        <w:rPr>
          <w:sz w:val="22"/>
          <w:szCs w:val="22"/>
          <w:lang w:val="en-GB"/>
        </w:rPr>
        <w:t>establish impact KPIs in support of SDTs/SDGs</w:t>
      </w:r>
    </w:p>
    <w:p w14:paraId="18B6011B" w14:textId="77777777" w:rsidR="000429F9" w:rsidRPr="000429F9" w:rsidRDefault="000429F9" w:rsidP="000429F9">
      <w:pPr>
        <w:pStyle w:val="ListParagraph"/>
        <w:spacing w:after="200" w:line="276" w:lineRule="auto"/>
        <w:jc w:val="both"/>
        <w:rPr>
          <w:sz w:val="22"/>
          <w:szCs w:val="22"/>
          <w:lang w:val="en-GB"/>
        </w:rPr>
      </w:pPr>
    </w:p>
    <w:p w14:paraId="19552E1F" w14:textId="77777777" w:rsidR="000429F9" w:rsidRPr="000429F9" w:rsidRDefault="000429F9" w:rsidP="000429F9">
      <w:pPr>
        <w:pStyle w:val="ListParagraph"/>
        <w:numPr>
          <w:ilvl w:val="0"/>
          <w:numId w:val="42"/>
        </w:numPr>
        <w:spacing w:after="200" w:line="276" w:lineRule="auto"/>
        <w:jc w:val="both"/>
        <w:rPr>
          <w:sz w:val="22"/>
          <w:szCs w:val="22"/>
          <w:lang w:val="en-GB"/>
        </w:rPr>
      </w:pPr>
      <w:r w:rsidRPr="000429F9">
        <w:rPr>
          <w:sz w:val="22"/>
          <w:szCs w:val="22"/>
          <w:lang w:val="en-GB"/>
        </w:rPr>
        <w:t>United Nations Sustainable Development Goals</w:t>
      </w:r>
    </w:p>
    <w:p w14:paraId="200D615D" w14:textId="14E2025C" w:rsidR="000429F9" w:rsidRPr="000429F9" w:rsidRDefault="000429F9" w:rsidP="000429F9">
      <w:pPr>
        <w:spacing w:after="200" w:line="276" w:lineRule="auto"/>
        <w:jc w:val="both"/>
        <w:rPr>
          <w:sz w:val="22"/>
          <w:szCs w:val="22"/>
          <w:lang w:val="en-GB"/>
        </w:rPr>
      </w:pPr>
      <w:r w:rsidRPr="000429F9">
        <w:rPr>
          <w:sz w:val="22"/>
          <w:szCs w:val="22"/>
          <w:lang w:val="en-GB"/>
        </w:rPr>
        <w:t>The Manager</w:t>
      </w:r>
      <w:r w:rsidR="00E36482">
        <w:rPr>
          <w:sz w:val="22"/>
          <w:szCs w:val="22"/>
          <w:lang w:val="en-GB"/>
        </w:rPr>
        <w:t>, the Adviser</w:t>
      </w:r>
      <w:r w:rsidRPr="000429F9">
        <w:rPr>
          <w:sz w:val="22"/>
          <w:szCs w:val="22"/>
          <w:lang w:val="en-GB"/>
        </w:rPr>
        <w:t xml:space="preserve"> and the Fund </w:t>
      </w:r>
      <w:r w:rsidR="00E36482">
        <w:rPr>
          <w:sz w:val="22"/>
          <w:szCs w:val="22"/>
          <w:lang w:val="en-GB"/>
        </w:rPr>
        <w:t>are</w:t>
      </w:r>
      <w:r w:rsidRPr="000429F9">
        <w:rPr>
          <w:sz w:val="22"/>
          <w:szCs w:val="22"/>
          <w:lang w:val="en-GB"/>
        </w:rPr>
        <w:t xml:space="preserve"> fully aligned with the </w:t>
      </w:r>
      <w:r w:rsidR="00893DB5">
        <w:rPr>
          <w:sz w:val="22"/>
          <w:szCs w:val="22"/>
          <w:lang w:val="en-GB"/>
        </w:rPr>
        <w:t>SDGs</w:t>
      </w:r>
      <w:r w:rsidRPr="000429F9">
        <w:rPr>
          <w:sz w:val="22"/>
          <w:szCs w:val="22"/>
          <w:lang w:val="en-GB"/>
        </w:rPr>
        <w:t xml:space="preserve">, both as an organization and through all its investment activities. To ensure alignment with the SDGs, </w:t>
      </w:r>
      <w:r w:rsidR="000A38E9">
        <w:rPr>
          <w:sz w:val="22"/>
          <w:szCs w:val="22"/>
          <w:lang w:val="en-GB"/>
        </w:rPr>
        <w:t>the Adviser</w:t>
      </w:r>
      <w:r w:rsidRPr="000429F9">
        <w:rPr>
          <w:sz w:val="22"/>
          <w:szCs w:val="22"/>
          <w:lang w:val="en-GB"/>
        </w:rPr>
        <w:t xml:space="preserve"> develops a logic model for each investment that links the investees' Outputs to Outcomes, Impact, and applicable </w:t>
      </w:r>
      <w:r w:rsidR="000C7B9B">
        <w:rPr>
          <w:sz w:val="22"/>
          <w:szCs w:val="22"/>
          <w:lang w:val="en-GB"/>
        </w:rPr>
        <w:t>SDTs</w:t>
      </w:r>
      <w:r w:rsidRPr="000429F9">
        <w:rPr>
          <w:sz w:val="22"/>
          <w:szCs w:val="22"/>
          <w:lang w:val="en-GB"/>
        </w:rPr>
        <w:t>.</w:t>
      </w:r>
    </w:p>
    <w:p w14:paraId="3C5CDEFD" w14:textId="77777777" w:rsidR="000429F9" w:rsidRPr="000429F9" w:rsidRDefault="000429F9" w:rsidP="000429F9">
      <w:pPr>
        <w:pStyle w:val="ListParagraph"/>
        <w:numPr>
          <w:ilvl w:val="0"/>
          <w:numId w:val="42"/>
        </w:numPr>
        <w:spacing w:after="200" w:line="276" w:lineRule="auto"/>
        <w:jc w:val="both"/>
        <w:rPr>
          <w:sz w:val="22"/>
          <w:szCs w:val="22"/>
          <w:lang w:val="en-GB"/>
        </w:rPr>
      </w:pPr>
      <w:r w:rsidRPr="000429F9">
        <w:rPr>
          <w:sz w:val="22"/>
          <w:szCs w:val="22"/>
          <w:lang w:val="en-GB"/>
        </w:rPr>
        <w:t xml:space="preserve">IRIS metrics </w:t>
      </w:r>
    </w:p>
    <w:p w14:paraId="51E35E36" w14:textId="62B4C8A1" w:rsidR="000429F9" w:rsidRPr="000429F9" w:rsidRDefault="000429F9" w:rsidP="000429F9">
      <w:pPr>
        <w:spacing w:after="200" w:line="276" w:lineRule="auto"/>
        <w:jc w:val="both"/>
        <w:rPr>
          <w:sz w:val="22"/>
          <w:szCs w:val="22"/>
          <w:lang w:val="en-GB"/>
        </w:rPr>
      </w:pPr>
      <w:r w:rsidRPr="000429F9">
        <w:rPr>
          <w:sz w:val="22"/>
          <w:szCs w:val="22"/>
          <w:lang w:val="en-GB"/>
        </w:rPr>
        <w:lastRenderedPageBreak/>
        <w:t xml:space="preserve">IRIS is the </w:t>
      </w:r>
      <w:proofErr w:type="spellStart"/>
      <w:r w:rsidRPr="000429F9">
        <w:rPr>
          <w:sz w:val="22"/>
          <w:szCs w:val="22"/>
          <w:lang w:val="en-GB"/>
        </w:rPr>
        <w:t>catalog</w:t>
      </w:r>
      <w:proofErr w:type="spellEnd"/>
      <w:r w:rsidRPr="000429F9">
        <w:rPr>
          <w:sz w:val="22"/>
          <w:szCs w:val="22"/>
          <w:lang w:val="en-GB"/>
        </w:rPr>
        <w:t xml:space="preserve"> of generally accepted performance metrics that leading impact investors use to measure social, environmental and financial success. The </w:t>
      </w:r>
      <w:proofErr w:type="spellStart"/>
      <w:r w:rsidRPr="000429F9">
        <w:rPr>
          <w:sz w:val="22"/>
          <w:szCs w:val="22"/>
          <w:lang w:val="en-GB"/>
        </w:rPr>
        <w:t>catalog</w:t>
      </w:r>
      <w:proofErr w:type="spellEnd"/>
      <w:r w:rsidRPr="000429F9">
        <w:rPr>
          <w:sz w:val="22"/>
          <w:szCs w:val="22"/>
          <w:lang w:val="en-GB"/>
        </w:rPr>
        <w:t xml:space="preserve"> has been developed and is being maintained by the </w:t>
      </w:r>
      <w:hyperlink r:id="rId12" w:history="1">
        <w:r w:rsidRPr="000429F9">
          <w:rPr>
            <w:sz w:val="22"/>
            <w:szCs w:val="22"/>
            <w:lang w:val="en-GB"/>
          </w:rPr>
          <w:t>Global Impact Investing Network</w:t>
        </w:r>
      </w:hyperlink>
      <w:r w:rsidRPr="000429F9">
        <w:rPr>
          <w:sz w:val="22"/>
          <w:szCs w:val="22"/>
          <w:lang w:val="en-GB"/>
        </w:rPr>
        <w:t xml:space="preserve"> (</w:t>
      </w:r>
      <w:r w:rsidR="00B971E6">
        <w:rPr>
          <w:sz w:val="22"/>
          <w:szCs w:val="22"/>
          <w:lang w:val="en-GB"/>
        </w:rPr>
        <w:t>“</w:t>
      </w:r>
      <w:r w:rsidRPr="00B971E6">
        <w:rPr>
          <w:b/>
          <w:bCs/>
          <w:sz w:val="22"/>
          <w:szCs w:val="22"/>
          <w:lang w:val="en-GB"/>
        </w:rPr>
        <w:t>GIIN</w:t>
      </w:r>
      <w:r w:rsidR="00B971E6">
        <w:rPr>
          <w:sz w:val="22"/>
          <w:szCs w:val="22"/>
          <w:lang w:val="en-GB"/>
        </w:rPr>
        <w:t>”</w:t>
      </w:r>
      <w:r w:rsidRPr="000429F9">
        <w:rPr>
          <w:sz w:val="22"/>
          <w:szCs w:val="22"/>
          <w:lang w:val="en-GB"/>
        </w:rPr>
        <w:t xml:space="preserve">). Where possible and meaningful, </w:t>
      </w:r>
      <w:r w:rsidR="000A38E9">
        <w:rPr>
          <w:sz w:val="22"/>
          <w:szCs w:val="22"/>
          <w:lang w:val="en-GB"/>
        </w:rPr>
        <w:t xml:space="preserve">the </w:t>
      </w:r>
      <w:r w:rsidR="00E36482">
        <w:rPr>
          <w:sz w:val="22"/>
          <w:szCs w:val="22"/>
          <w:lang w:val="en-GB"/>
        </w:rPr>
        <w:t>Manager</w:t>
      </w:r>
      <w:r w:rsidRPr="000429F9">
        <w:rPr>
          <w:sz w:val="22"/>
          <w:szCs w:val="22"/>
          <w:lang w:val="en-GB"/>
        </w:rPr>
        <w:t xml:space="preserve"> aligns its impact metrics with IRIS.  </w:t>
      </w:r>
    </w:p>
    <w:p w14:paraId="1AA21057" w14:textId="77777777" w:rsidR="000429F9" w:rsidRDefault="000429F9" w:rsidP="000429F9">
      <w:pPr>
        <w:pStyle w:val="BodyText"/>
        <w:rPr>
          <w:noProof/>
        </w:rPr>
      </w:pPr>
    </w:p>
    <w:p w14:paraId="5659A176" w14:textId="77777777" w:rsidR="000429F9" w:rsidRPr="000A38E9" w:rsidRDefault="000429F9" w:rsidP="000429F9">
      <w:pPr>
        <w:pStyle w:val="ListParagraph"/>
        <w:numPr>
          <w:ilvl w:val="0"/>
          <w:numId w:val="42"/>
        </w:numPr>
        <w:spacing w:after="200" w:line="276" w:lineRule="auto"/>
        <w:jc w:val="both"/>
        <w:rPr>
          <w:sz w:val="22"/>
          <w:szCs w:val="22"/>
          <w:lang w:val="en-GB"/>
        </w:rPr>
      </w:pPr>
      <w:r w:rsidRPr="000A38E9">
        <w:rPr>
          <w:sz w:val="22"/>
          <w:szCs w:val="22"/>
          <w:lang w:val="en-GB"/>
        </w:rPr>
        <w:t>ESG Due Diligence Tools</w:t>
      </w:r>
    </w:p>
    <w:p w14:paraId="47940D20" w14:textId="7B89B0EE" w:rsidR="000429F9" w:rsidRPr="000429F9" w:rsidRDefault="000429F9" w:rsidP="000429F9">
      <w:pPr>
        <w:spacing w:after="200" w:line="276" w:lineRule="auto"/>
        <w:jc w:val="both"/>
        <w:rPr>
          <w:sz w:val="22"/>
          <w:szCs w:val="22"/>
          <w:lang w:val="en-GB"/>
        </w:rPr>
      </w:pPr>
      <w:r w:rsidRPr="000429F9">
        <w:rPr>
          <w:sz w:val="22"/>
          <w:szCs w:val="22"/>
          <w:lang w:val="en-GB"/>
        </w:rPr>
        <w:t xml:space="preserve">The goal of ESG due diligence is to protect value for clients through </w:t>
      </w:r>
      <w:r w:rsidR="00550F1D">
        <w:rPr>
          <w:sz w:val="22"/>
          <w:szCs w:val="22"/>
          <w:lang w:val="en-GB"/>
        </w:rPr>
        <w:t>S</w:t>
      </w:r>
      <w:r w:rsidRPr="000429F9">
        <w:rPr>
          <w:sz w:val="22"/>
          <w:szCs w:val="22"/>
          <w:lang w:val="en-GB"/>
        </w:rPr>
        <w:t xml:space="preserve">ustainability </w:t>
      </w:r>
      <w:r w:rsidR="00550F1D">
        <w:rPr>
          <w:sz w:val="22"/>
          <w:szCs w:val="22"/>
          <w:lang w:val="en-GB"/>
        </w:rPr>
        <w:t>R</w:t>
      </w:r>
      <w:r w:rsidRPr="000429F9">
        <w:rPr>
          <w:sz w:val="22"/>
          <w:szCs w:val="22"/>
          <w:lang w:val="en-GB"/>
        </w:rPr>
        <w:t xml:space="preserve">isk assessment and management. The ESG due diligence process aims to identify risks from ESG factors and areas for ESG engagement post-investment. </w:t>
      </w:r>
    </w:p>
    <w:p w14:paraId="4B3276FB" w14:textId="6C559FE8" w:rsidR="000A38E9" w:rsidRPr="008049D2" w:rsidRDefault="000A38E9" w:rsidP="000A38E9">
      <w:pPr>
        <w:pStyle w:val="ListParagraph"/>
        <w:spacing w:after="200" w:line="276" w:lineRule="auto"/>
        <w:ind w:left="0"/>
        <w:rPr>
          <w:sz w:val="22"/>
          <w:szCs w:val="22"/>
          <w:lang w:val="en-GB"/>
        </w:rPr>
      </w:pPr>
      <w:r w:rsidRPr="008049D2">
        <w:rPr>
          <w:sz w:val="22"/>
          <w:szCs w:val="22"/>
          <w:lang w:val="en-GB"/>
        </w:rPr>
        <w:t xml:space="preserve">Please refer to section </w:t>
      </w:r>
      <w:r>
        <w:rPr>
          <w:sz w:val="22"/>
          <w:szCs w:val="22"/>
          <w:lang w:val="en-GB"/>
        </w:rPr>
        <w:t>X</w:t>
      </w:r>
      <w:r w:rsidRPr="008049D2">
        <w:rPr>
          <w:sz w:val="22"/>
          <w:szCs w:val="22"/>
          <w:lang w:val="en-GB"/>
        </w:rPr>
        <w:t xml:space="preserve"> “</w:t>
      </w:r>
      <w:r>
        <w:rPr>
          <w:sz w:val="22"/>
          <w:szCs w:val="22"/>
          <w:lang w:val="en-GB"/>
        </w:rPr>
        <w:t xml:space="preserve">Due </w:t>
      </w:r>
      <w:r w:rsidR="00550F1D">
        <w:rPr>
          <w:sz w:val="22"/>
          <w:szCs w:val="22"/>
          <w:lang w:val="en-GB"/>
        </w:rPr>
        <w:t>d</w:t>
      </w:r>
      <w:r>
        <w:rPr>
          <w:sz w:val="22"/>
          <w:szCs w:val="22"/>
          <w:lang w:val="en-GB"/>
        </w:rPr>
        <w:t>iligence</w:t>
      </w:r>
      <w:r w:rsidRPr="008049D2">
        <w:rPr>
          <w:sz w:val="22"/>
          <w:szCs w:val="22"/>
          <w:lang w:val="en-GB"/>
        </w:rPr>
        <w:t xml:space="preserve">” </w:t>
      </w:r>
      <w:r>
        <w:rPr>
          <w:sz w:val="22"/>
          <w:szCs w:val="22"/>
          <w:lang w:val="en-GB"/>
        </w:rPr>
        <w:t>below</w:t>
      </w:r>
      <w:r w:rsidRPr="008049D2">
        <w:rPr>
          <w:sz w:val="22"/>
          <w:szCs w:val="22"/>
          <w:lang w:val="en-GB"/>
        </w:rPr>
        <w:t xml:space="preserve"> for further details.</w:t>
      </w:r>
    </w:p>
    <w:p w14:paraId="0B9E38D1" w14:textId="0A8DA644" w:rsidR="008049D2" w:rsidRPr="008049D2" w:rsidRDefault="008049D2" w:rsidP="008049D2">
      <w:pPr>
        <w:pStyle w:val="Heading1"/>
        <w:numPr>
          <w:ilvl w:val="0"/>
          <w:numId w:val="26"/>
        </w:numPr>
        <w:ind w:left="709"/>
        <w:rPr>
          <w:sz w:val="22"/>
          <w:szCs w:val="22"/>
          <w:lang w:val="en-GB"/>
        </w:rPr>
      </w:pPr>
      <w:r w:rsidRPr="008049D2">
        <w:rPr>
          <w:sz w:val="22"/>
          <w:szCs w:val="22"/>
          <w:lang w:val="en-GB"/>
        </w:rPr>
        <w:t>Data sources and processing</w:t>
      </w:r>
      <w:r w:rsidR="003F200D">
        <w:rPr>
          <w:sz w:val="22"/>
          <w:szCs w:val="22"/>
          <w:lang w:val="en-GB"/>
        </w:rPr>
        <w:t xml:space="preserve"> </w:t>
      </w:r>
    </w:p>
    <w:p w14:paraId="3A31EC67" w14:textId="203C49C3" w:rsidR="00296605" w:rsidRPr="00296605" w:rsidRDefault="007F33C8" w:rsidP="00296605">
      <w:pPr>
        <w:spacing w:after="200" w:line="276" w:lineRule="auto"/>
        <w:jc w:val="both"/>
        <w:rPr>
          <w:sz w:val="22"/>
          <w:szCs w:val="22"/>
          <w:lang w:val="en-GB"/>
        </w:rPr>
      </w:pPr>
      <w:bookmarkStart w:id="8" w:name="_Hlk65772651"/>
      <w:r w:rsidRPr="007F33C8">
        <w:rPr>
          <w:sz w:val="22"/>
          <w:szCs w:val="22"/>
          <w:lang w:val="en-GB"/>
        </w:rPr>
        <w:t xml:space="preserve">To assess the </w:t>
      </w:r>
      <w:r w:rsidR="00F63C96">
        <w:rPr>
          <w:sz w:val="22"/>
          <w:szCs w:val="22"/>
          <w:lang w:val="en-GB"/>
        </w:rPr>
        <w:t xml:space="preserve">sustainable investment objective </w:t>
      </w:r>
      <w:r w:rsidR="00097C43">
        <w:rPr>
          <w:sz w:val="22"/>
          <w:szCs w:val="22"/>
          <w:lang w:val="en-GB"/>
        </w:rPr>
        <w:t xml:space="preserve">of </w:t>
      </w:r>
      <w:r>
        <w:rPr>
          <w:sz w:val="22"/>
          <w:szCs w:val="22"/>
          <w:lang w:val="en-GB"/>
        </w:rPr>
        <w:t>the Fund</w:t>
      </w:r>
      <w:r w:rsidRPr="007F33C8">
        <w:rPr>
          <w:sz w:val="22"/>
          <w:szCs w:val="22"/>
          <w:lang w:val="en-GB"/>
        </w:rPr>
        <w:t>,</w:t>
      </w:r>
      <w:r>
        <w:rPr>
          <w:sz w:val="22"/>
          <w:szCs w:val="22"/>
          <w:lang w:val="en-GB"/>
        </w:rPr>
        <w:t xml:space="preserve"> the </w:t>
      </w:r>
      <w:r w:rsidR="00E36482">
        <w:rPr>
          <w:sz w:val="22"/>
          <w:szCs w:val="22"/>
          <w:lang w:val="en-GB"/>
        </w:rPr>
        <w:t>Manager</w:t>
      </w:r>
      <w:r w:rsidRPr="007F33C8">
        <w:rPr>
          <w:sz w:val="22"/>
          <w:szCs w:val="22"/>
          <w:lang w:val="en-GB"/>
        </w:rPr>
        <w:t xml:space="preserve"> will undertake steps to understand </w:t>
      </w:r>
      <w:r>
        <w:rPr>
          <w:sz w:val="22"/>
          <w:szCs w:val="22"/>
          <w:lang w:val="en-GB"/>
        </w:rPr>
        <w:t xml:space="preserve">a </w:t>
      </w:r>
      <w:r w:rsidRPr="007F33C8">
        <w:rPr>
          <w:sz w:val="22"/>
          <w:szCs w:val="22"/>
          <w:lang w:val="en-GB"/>
        </w:rPr>
        <w:t xml:space="preserve">company or </w:t>
      </w:r>
      <w:r>
        <w:rPr>
          <w:sz w:val="22"/>
          <w:szCs w:val="22"/>
          <w:lang w:val="en-GB"/>
        </w:rPr>
        <w:t xml:space="preserve">a </w:t>
      </w:r>
      <w:r w:rsidRPr="007F33C8">
        <w:rPr>
          <w:sz w:val="22"/>
          <w:szCs w:val="22"/>
          <w:lang w:val="en-GB"/>
        </w:rPr>
        <w:t>fund’s current approach to recording impact-related data through a high-level review of its relevant definitions, processes and controls</w:t>
      </w:r>
      <w:r>
        <w:rPr>
          <w:sz w:val="22"/>
          <w:szCs w:val="22"/>
          <w:lang w:val="en-GB"/>
        </w:rPr>
        <w:t xml:space="preserve">. </w:t>
      </w:r>
      <w:bookmarkStart w:id="9" w:name="_Hlk65773778"/>
      <w:r w:rsidR="00296605" w:rsidRPr="00296605">
        <w:rPr>
          <w:sz w:val="22"/>
          <w:szCs w:val="22"/>
          <w:lang w:val="en-GB"/>
        </w:rPr>
        <w:t xml:space="preserve">On a quarterly basis, the </w:t>
      </w:r>
      <w:r w:rsidR="00E36482">
        <w:rPr>
          <w:sz w:val="22"/>
          <w:szCs w:val="22"/>
          <w:lang w:val="en-GB"/>
        </w:rPr>
        <w:t>Manager</w:t>
      </w:r>
      <w:r w:rsidR="00296605" w:rsidRPr="00296605">
        <w:rPr>
          <w:sz w:val="22"/>
          <w:szCs w:val="22"/>
          <w:lang w:val="en-GB"/>
        </w:rPr>
        <w:t xml:space="preserve"> provides standardized and detailed investment reports. On an annual basis, the </w:t>
      </w:r>
      <w:r w:rsidR="00E36482">
        <w:rPr>
          <w:sz w:val="22"/>
          <w:szCs w:val="22"/>
          <w:lang w:val="en-GB"/>
        </w:rPr>
        <w:t>Manager</w:t>
      </w:r>
      <w:r w:rsidR="00296605" w:rsidRPr="00296605">
        <w:rPr>
          <w:sz w:val="22"/>
          <w:szCs w:val="22"/>
          <w:lang w:val="en-GB"/>
        </w:rPr>
        <w:t xml:space="preserve"> produces a comprehensive </w:t>
      </w:r>
      <w:r w:rsidR="00550F1D">
        <w:rPr>
          <w:sz w:val="22"/>
          <w:szCs w:val="22"/>
          <w:lang w:val="en-GB"/>
        </w:rPr>
        <w:t>i</w:t>
      </w:r>
      <w:r w:rsidR="00296605" w:rsidRPr="00296605">
        <w:rPr>
          <w:sz w:val="22"/>
          <w:szCs w:val="22"/>
          <w:lang w:val="en-GB"/>
        </w:rPr>
        <w:t xml:space="preserve">mpact </w:t>
      </w:r>
      <w:r w:rsidR="00550F1D">
        <w:rPr>
          <w:sz w:val="22"/>
          <w:szCs w:val="22"/>
          <w:lang w:val="en-GB"/>
        </w:rPr>
        <w:t>r</w:t>
      </w:r>
      <w:r w:rsidR="00296605" w:rsidRPr="00296605">
        <w:rPr>
          <w:sz w:val="22"/>
          <w:szCs w:val="22"/>
          <w:lang w:val="en-GB"/>
        </w:rPr>
        <w:t xml:space="preserve">eport to all clients. The report provides detail on the performance of the portfolio against key impact-related metrics and the progress made on key ESG indicators, highlighting noteworthy trends or improvements with case studies. </w:t>
      </w:r>
    </w:p>
    <w:p w14:paraId="4F608BB7" w14:textId="7D844057" w:rsidR="00296605" w:rsidRDefault="00296605" w:rsidP="00296605">
      <w:pPr>
        <w:spacing w:after="200" w:line="276" w:lineRule="auto"/>
        <w:jc w:val="both"/>
        <w:rPr>
          <w:sz w:val="22"/>
          <w:szCs w:val="22"/>
          <w:lang w:val="en-GB"/>
        </w:rPr>
      </w:pPr>
      <w:r w:rsidRPr="00296605">
        <w:rPr>
          <w:sz w:val="22"/>
          <w:szCs w:val="22"/>
          <w:lang w:val="en-GB"/>
        </w:rPr>
        <w:t xml:space="preserve">Where possible, the </w:t>
      </w:r>
      <w:r w:rsidR="00E36482">
        <w:rPr>
          <w:sz w:val="22"/>
          <w:szCs w:val="22"/>
          <w:lang w:val="en-GB"/>
        </w:rPr>
        <w:t>Manager</w:t>
      </w:r>
      <w:r w:rsidRPr="00296605">
        <w:rPr>
          <w:sz w:val="22"/>
          <w:szCs w:val="22"/>
          <w:lang w:val="en-GB"/>
        </w:rPr>
        <w:t xml:space="preserve"> identifies common impact metrics that can be aggregated across assets at a sector and portfolio level. These are aggregated to show the collective impact of the portfolio and reported in the annual </w:t>
      </w:r>
      <w:r w:rsidR="008876CC">
        <w:rPr>
          <w:sz w:val="22"/>
          <w:szCs w:val="22"/>
          <w:lang w:val="en-GB"/>
        </w:rPr>
        <w:t>i</w:t>
      </w:r>
      <w:r w:rsidRPr="00296605">
        <w:rPr>
          <w:sz w:val="22"/>
          <w:szCs w:val="22"/>
          <w:lang w:val="en-GB"/>
        </w:rPr>
        <w:t xml:space="preserve">mpact </w:t>
      </w:r>
      <w:r w:rsidR="008876CC">
        <w:rPr>
          <w:sz w:val="22"/>
          <w:szCs w:val="22"/>
          <w:lang w:val="en-GB"/>
        </w:rPr>
        <w:t>r</w:t>
      </w:r>
      <w:r w:rsidRPr="00296605">
        <w:rPr>
          <w:sz w:val="22"/>
          <w:szCs w:val="22"/>
          <w:lang w:val="en-GB"/>
        </w:rPr>
        <w:t>eport.</w:t>
      </w:r>
    </w:p>
    <w:bookmarkEnd w:id="8"/>
    <w:bookmarkEnd w:id="9"/>
    <w:p w14:paraId="71C929CA" w14:textId="69ABC9F0" w:rsidR="008049D2" w:rsidRPr="008049D2" w:rsidRDefault="008049D2" w:rsidP="008049D2">
      <w:pPr>
        <w:pStyle w:val="Heading1"/>
        <w:numPr>
          <w:ilvl w:val="0"/>
          <w:numId w:val="26"/>
        </w:numPr>
        <w:ind w:left="709"/>
        <w:rPr>
          <w:sz w:val="22"/>
          <w:szCs w:val="22"/>
          <w:lang w:val="en-GB"/>
        </w:rPr>
      </w:pPr>
      <w:r w:rsidRPr="008049D2">
        <w:rPr>
          <w:sz w:val="22"/>
          <w:szCs w:val="22"/>
          <w:lang w:val="en-GB"/>
        </w:rPr>
        <w:t>Limitations to methodologies and data</w:t>
      </w:r>
      <w:r w:rsidR="003F200D">
        <w:rPr>
          <w:sz w:val="22"/>
          <w:szCs w:val="22"/>
          <w:lang w:val="en-GB"/>
        </w:rPr>
        <w:t xml:space="preserve"> </w:t>
      </w:r>
    </w:p>
    <w:p w14:paraId="02E21681" w14:textId="1B88BB43" w:rsidR="00E576C1" w:rsidRPr="008049D2" w:rsidRDefault="008049D2" w:rsidP="001E6FD1">
      <w:pPr>
        <w:pStyle w:val="ListParagraph"/>
        <w:spacing w:after="200" w:line="276" w:lineRule="auto"/>
        <w:ind w:left="0"/>
        <w:jc w:val="both"/>
        <w:rPr>
          <w:sz w:val="22"/>
          <w:szCs w:val="22"/>
          <w:lang w:val="en-GB"/>
        </w:rPr>
      </w:pPr>
      <w:r w:rsidRPr="008049D2">
        <w:rPr>
          <w:sz w:val="22"/>
          <w:szCs w:val="22"/>
          <w:lang w:val="en-GB"/>
        </w:rPr>
        <w:t xml:space="preserve">Limitations to the methodologies and data referred to in the above sections </w:t>
      </w:r>
      <w:proofErr w:type="gramStart"/>
      <w:r w:rsidRPr="008049D2">
        <w:rPr>
          <w:sz w:val="22"/>
          <w:szCs w:val="22"/>
          <w:lang w:val="en-GB"/>
        </w:rPr>
        <w:t>include, but</w:t>
      </w:r>
      <w:proofErr w:type="gramEnd"/>
      <w:r w:rsidRPr="008049D2">
        <w:rPr>
          <w:sz w:val="22"/>
          <w:szCs w:val="22"/>
          <w:lang w:val="en-GB"/>
        </w:rPr>
        <w:t xml:space="preserve"> are not limited to: limited capacity to measure or report from the portfolio companies, human error in the provision of data</w:t>
      </w:r>
      <w:r w:rsidR="00F51B21">
        <w:rPr>
          <w:sz w:val="22"/>
          <w:szCs w:val="22"/>
          <w:lang w:val="en-GB"/>
        </w:rPr>
        <w:t>,</w:t>
      </w:r>
      <w:r w:rsidR="00F51B21" w:rsidRPr="00F51B21">
        <w:rPr>
          <w:sz w:val="22"/>
          <w:szCs w:val="22"/>
          <w:lang w:val="en-GB"/>
        </w:rPr>
        <w:t xml:space="preserve"> </w:t>
      </w:r>
      <w:r w:rsidR="007F308F">
        <w:t>limited</w:t>
      </w:r>
      <w:r w:rsidR="00F51B21">
        <w:t xml:space="preserve"> coverage and different reporting periods</w:t>
      </w:r>
      <w:r w:rsidRPr="008049D2">
        <w:rPr>
          <w:sz w:val="22"/>
          <w:szCs w:val="22"/>
          <w:lang w:val="en-GB"/>
        </w:rPr>
        <w:t>. The Manager expects its underlying assets and managers, when commercially sensible, to improve data quality and minimize the limitations mentioned above.</w:t>
      </w:r>
    </w:p>
    <w:p w14:paraId="1F59F50D" w14:textId="1702B54A" w:rsidR="00781CEA" w:rsidRPr="008049D2" w:rsidRDefault="009312B4" w:rsidP="006C4130">
      <w:pPr>
        <w:pStyle w:val="Heading1"/>
        <w:numPr>
          <w:ilvl w:val="0"/>
          <w:numId w:val="26"/>
        </w:numPr>
        <w:ind w:left="709"/>
        <w:rPr>
          <w:sz w:val="22"/>
          <w:szCs w:val="22"/>
          <w:lang w:val="en-GB"/>
        </w:rPr>
      </w:pPr>
      <w:r w:rsidRPr="008049D2">
        <w:rPr>
          <w:sz w:val="22"/>
          <w:szCs w:val="22"/>
          <w:lang w:val="en-GB"/>
        </w:rPr>
        <w:t>Due diligence</w:t>
      </w:r>
      <w:r w:rsidR="00C9230F">
        <w:rPr>
          <w:sz w:val="22"/>
          <w:szCs w:val="22"/>
          <w:lang w:val="en-GB"/>
        </w:rPr>
        <w:t xml:space="preserve"> </w:t>
      </w:r>
    </w:p>
    <w:p w14:paraId="67BA88FE" w14:textId="60AF4016" w:rsidR="00D33E94" w:rsidRDefault="00D33E94" w:rsidP="001E6FD1">
      <w:pPr>
        <w:pStyle w:val="ListParagraph"/>
        <w:spacing w:after="200" w:line="276" w:lineRule="auto"/>
        <w:ind w:left="0"/>
        <w:jc w:val="both"/>
        <w:rPr>
          <w:sz w:val="22"/>
          <w:szCs w:val="22"/>
          <w:lang w:val="en-GB"/>
        </w:rPr>
      </w:pPr>
      <w:r>
        <w:rPr>
          <w:sz w:val="22"/>
          <w:szCs w:val="22"/>
          <w:lang w:val="en-GB"/>
        </w:rPr>
        <w:t>Investments</w:t>
      </w:r>
      <w:r w:rsidRPr="00D33E94">
        <w:rPr>
          <w:sz w:val="22"/>
          <w:szCs w:val="22"/>
          <w:lang w:val="en-GB"/>
        </w:rPr>
        <w:t xml:space="preserve"> will be selected only after multiple assessment points in the investment lifecycle, from deal sourcing and due diligence through exit, for their potential to generate environmental and social impact in line with the </w:t>
      </w:r>
      <w:r>
        <w:rPr>
          <w:sz w:val="22"/>
          <w:szCs w:val="22"/>
          <w:lang w:val="en-GB"/>
        </w:rPr>
        <w:t>F</w:t>
      </w:r>
      <w:r w:rsidRPr="00D33E94">
        <w:rPr>
          <w:sz w:val="22"/>
          <w:szCs w:val="22"/>
          <w:lang w:val="en-GB"/>
        </w:rPr>
        <w:t>und'</w:t>
      </w:r>
      <w:r>
        <w:rPr>
          <w:sz w:val="22"/>
          <w:szCs w:val="22"/>
          <w:lang w:val="en-GB"/>
        </w:rPr>
        <w:t>s</w:t>
      </w:r>
      <w:r w:rsidRPr="00D33E94">
        <w:rPr>
          <w:sz w:val="22"/>
          <w:szCs w:val="22"/>
          <w:lang w:val="en-GB"/>
        </w:rPr>
        <w:t xml:space="preserve"> mandates. The results of impact and ESG assessments performed during due diligence will be considered by the Investment Committee of </w:t>
      </w:r>
      <w:r w:rsidR="000A38E9">
        <w:rPr>
          <w:sz w:val="22"/>
          <w:szCs w:val="22"/>
          <w:lang w:val="en-GB"/>
        </w:rPr>
        <w:t>the Adviser</w:t>
      </w:r>
      <w:r w:rsidRPr="00D33E94">
        <w:rPr>
          <w:sz w:val="22"/>
          <w:szCs w:val="22"/>
          <w:lang w:val="en-GB"/>
        </w:rPr>
        <w:t xml:space="preserve"> as one of the key factors in deciding whether or not to invest.</w:t>
      </w:r>
    </w:p>
    <w:p w14:paraId="60DB2491" w14:textId="5216B387" w:rsidR="00D33E94" w:rsidRDefault="00D33E94" w:rsidP="001E6FD1">
      <w:pPr>
        <w:pStyle w:val="ListParagraph"/>
        <w:spacing w:after="200" w:line="276" w:lineRule="auto"/>
        <w:ind w:left="0"/>
        <w:jc w:val="both"/>
        <w:rPr>
          <w:sz w:val="22"/>
          <w:szCs w:val="22"/>
          <w:lang w:val="en-GB"/>
        </w:rPr>
      </w:pPr>
    </w:p>
    <w:p w14:paraId="4BF22E9D" w14:textId="6881D89D" w:rsidR="00D33E94" w:rsidRDefault="00D33E94" w:rsidP="001E6FD1">
      <w:pPr>
        <w:pStyle w:val="ListParagraph"/>
        <w:spacing w:after="200" w:line="276" w:lineRule="auto"/>
        <w:ind w:left="0"/>
        <w:jc w:val="both"/>
        <w:rPr>
          <w:sz w:val="22"/>
          <w:szCs w:val="22"/>
          <w:lang w:val="en-GB"/>
        </w:rPr>
      </w:pPr>
      <w:r w:rsidRPr="00D33E94">
        <w:rPr>
          <w:sz w:val="22"/>
          <w:szCs w:val="22"/>
          <w:lang w:val="en-GB"/>
        </w:rPr>
        <w:t xml:space="preserve">The goal of ESG due diligence is to protect value for clients through </w:t>
      </w:r>
      <w:r w:rsidR="00776313">
        <w:rPr>
          <w:sz w:val="22"/>
          <w:szCs w:val="22"/>
          <w:lang w:val="en-GB"/>
        </w:rPr>
        <w:t>S</w:t>
      </w:r>
      <w:r w:rsidRPr="00D33E94">
        <w:rPr>
          <w:sz w:val="22"/>
          <w:szCs w:val="22"/>
          <w:lang w:val="en-GB"/>
        </w:rPr>
        <w:t xml:space="preserve">ustainability </w:t>
      </w:r>
      <w:r w:rsidR="00776313">
        <w:rPr>
          <w:sz w:val="22"/>
          <w:szCs w:val="22"/>
          <w:lang w:val="en-GB"/>
        </w:rPr>
        <w:t>R</w:t>
      </w:r>
      <w:r w:rsidRPr="00D33E94">
        <w:rPr>
          <w:sz w:val="22"/>
          <w:szCs w:val="22"/>
          <w:lang w:val="en-GB"/>
        </w:rPr>
        <w:t>isk assessment and management. The ESG due diligence process aims to identify risks from ESG factors and areas for ESG engagement post-investment.</w:t>
      </w:r>
    </w:p>
    <w:p w14:paraId="762E287F" w14:textId="49044FCF" w:rsidR="00D33E94" w:rsidRDefault="00D33E94" w:rsidP="001E6FD1">
      <w:pPr>
        <w:pStyle w:val="ListParagraph"/>
        <w:spacing w:after="200" w:line="276" w:lineRule="auto"/>
        <w:ind w:left="0"/>
        <w:jc w:val="both"/>
        <w:rPr>
          <w:sz w:val="22"/>
          <w:szCs w:val="22"/>
          <w:lang w:val="en-GB"/>
        </w:rPr>
      </w:pPr>
    </w:p>
    <w:p w14:paraId="6DF41CDE" w14:textId="7123CEA1" w:rsidR="00D33E94" w:rsidRDefault="00B372D1" w:rsidP="001E6FD1">
      <w:pPr>
        <w:pStyle w:val="ListParagraph"/>
        <w:spacing w:after="200" w:line="276" w:lineRule="auto"/>
        <w:ind w:left="0"/>
        <w:jc w:val="both"/>
        <w:rPr>
          <w:sz w:val="22"/>
          <w:szCs w:val="22"/>
          <w:lang w:val="en-GB"/>
        </w:rPr>
      </w:pPr>
      <w:r>
        <w:rPr>
          <w:sz w:val="22"/>
          <w:szCs w:val="22"/>
          <w:lang w:val="en-GB"/>
        </w:rPr>
        <w:lastRenderedPageBreak/>
        <w:t>T</w:t>
      </w:r>
      <w:r w:rsidR="00D33E94">
        <w:rPr>
          <w:sz w:val="22"/>
          <w:szCs w:val="22"/>
          <w:lang w:val="en-GB"/>
        </w:rPr>
        <w:t>he Manager</w:t>
      </w:r>
      <w:r w:rsidR="00D33E94" w:rsidRPr="00D33E94">
        <w:rPr>
          <w:sz w:val="22"/>
          <w:szCs w:val="22"/>
          <w:lang w:val="en-GB"/>
        </w:rPr>
        <w:t xml:space="preserve"> uses </w:t>
      </w:r>
      <w:r w:rsidR="00EB0EAB">
        <w:rPr>
          <w:sz w:val="22"/>
          <w:szCs w:val="22"/>
          <w:lang w:val="en-GB"/>
        </w:rPr>
        <w:t>a</w:t>
      </w:r>
      <w:r w:rsidR="00D33E94" w:rsidRPr="00D33E94">
        <w:rPr>
          <w:sz w:val="22"/>
          <w:szCs w:val="22"/>
          <w:lang w:val="en-GB"/>
        </w:rPr>
        <w:t xml:space="preserve"> proprietary ESG due diligence tool to ensure the integration of </w:t>
      </w:r>
      <w:r w:rsidR="00D36C9F">
        <w:rPr>
          <w:sz w:val="22"/>
          <w:szCs w:val="22"/>
          <w:lang w:val="en-GB"/>
        </w:rPr>
        <w:t>S</w:t>
      </w:r>
      <w:r w:rsidR="00D33E94" w:rsidRPr="00D33E94">
        <w:rPr>
          <w:sz w:val="22"/>
          <w:szCs w:val="22"/>
          <w:lang w:val="en-GB"/>
        </w:rPr>
        <w:t xml:space="preserve">ustainability </w:t>
      </w:r>
      <w:r w:rsidR="00D36C9F">
        <w:rPr>
          <w:sz w:val="22"/>
          <w:szCs w:val="22"/>
          <w:lang w:val="en-GB"/>
        </w:rPr>
        <w:t>R</w:t>
      </w:r>
      <w:r w:rsidR="00D33E94" w:rsidRPr="00D33E94">
        <w:rPr>
          <w:sz w:val="22"/>
          <w:szCs w:val="22"/>
          <w:lang w:val="en-GB"/>
        </w:rPr>
        <w:t>isk factors throughout the investment process. The tool distils the wide range of potential ESG topics into those most likely to be material for a given investment. Investment teams are responsible for completing the ESG assessment, evaluating the risks identified, and where possible, identifying opportunities to add value through improved ESG management.</w:t>
      </w:r>
      <w:r w:rsidR="00C9230F">
        <w:rPr>
          <w:sz w:val="22"/>
          <w:szCs w:val="22"/>
          <w:lang w:val="en-GB"/>
        </w:rPr>
        <w:t xml:space="preserve"> </w:t>
      </w:r>
    </w:p>
    <w:p w14:paraId="5B597A9F" w14:textId="77777777" w:rsidR="00C9230F" w:rsidRDefault="00C9230F" w:rsidP="001E6FD1">
      <w:pPr>
        <w:pStyle w:val="ListParagraph"/>
        <w:spacing w:after="200" w:line="276" w:lineRule="auto"/>
        <w:ind w:left="0"/>
        <w:jc w:val="both"/>
        <w:rPr>
          <w:sz w:val="22"/>
          <w:szCs w:val="22"/>
          <w:lang w:val="en-GB"/>
        </w:rPr>
      </w:pPr>
    </w:p>
    <w:p w14:paraId="06CF9C74" w14:textId="05BAEA42" w:rsidR="00E91242" w:rsidRDefault="00E91242" w:rsidP="001E6FD1">
      <w:pPr>
        <w:pStyle w:val="ListParagraph"/>
        <w:spacing w:after="200" w:line="276" w:lineRule="auto"/>
        <w:ind w:left="0"/>
        <w:rPr>
          <w:sz w:val="22"/>
          <w:szCs w:val="22"/>
          <w:lang w:val="en-GB"/>
        </w:rPr>
      </w:pPr>
      <w:r w:rsidRPr="008049D2">
        <w:rPr>
          <w:sz w:val="22"/>
          <w:szCs w:val="22"/>
          <w:lang w:val="en-GB"/>
        </w:rPr>
        <w:t>Please refer to section IV</w:t>
      </w:r>
      <w:r w:rsidR="00301AD8">
        <w:rPr>
          <w:sz w:val="22"/>
          <w:szCs w:val="22"/>
          <w:lang w:val="en-GB"/>
        </w:rPr>
        <w:t xml:space="preserve"> "Investment </w:t>
      </w:r>
      <w:r w:rsidR="00CA0517">
        <w:rPr>
          <w:sz w:val="22"/>
          <w:szCs w:val="22"/>
          <w:lang w:val="en-GB"/>
        </w:rPr>
        <w:t>s</w:t>
      </w:r>
      <w:r w:rsidR="00301AD8">
        <w:rPr>
          <w:sz w:val="22"/>
          <w:szCs w:val="22"/>
          <w:lang w:val="en-GB"/>
        </w:rPr>
        <w:t>trategy</w:t>
      </w:r>
      <w:r w:rsidR="00301AD8" w:rsidRPr="008049D2">
        <w:rPr>
          <w:sz w:val="22"/>
          <w:szCs w:val="22"/>
          <w:lang w:val="en-GB"/>
        </w:rPr>
        <w:t>”</w:t>
      </w:r>
      <w:r w:rsidR="00301AD8">
        <w:rPr>
          <w:sz w:val="22"/>
          <w:szCs w:val="22"/>
          <w:lang w:val="en-GB"/>
        </w:rPr>
        <w:t xml:space="preserve"> and section VII</w:t>
      </w:r>
      <w:r w:rsidRPr="008049D2">
        <w:rPr>
          <w:sz w:val="22"/>
          <w:szCs w:val="22"/>
          <w:lang w:val="en-GB"/>
        </w:rPr>
        <w:t xml:space="preserve"> “</w:t>
      </w:r>
      <w:r w:rsidR="00493272">
        <w:rPr>
          <w:sz w:val="22"/>
          <w:szCs w:val="22"/>
          <w:lang w:val="en-GB"/>
        </w:rPr>
        <w:t>Methodologies</w:t>
      </w:r>
      <w:r w:rsidRPr="008049D2">
        <w:rPr>
          <w:sz w:val="22"/>
          <w:szCs w:val="22"/>
          <w:lang w:val="en-GB"/>
        </w:rPr>
        <w:t>” above for further details.</w:t>
      </w:r>
    </w:p>
    <w:p w14:paraId="6AAFD534" w14:textId="77777777" w:rsidR="00E576C1" w:rsidRDefault="00E576C1" w:rsidP="001E6FD1">
      <w:pPr>
        <w:pStyle w:val="ListParagraph"/>
        <w:spacing w:after="200" w:line="276" w:lineRule="auto"/>
        <w:ind w:left="0"/>
        <w:rPr>
          <w:sz w:val="22"/>
          <w:szCs w:val="22"/>
          <w:lang w:val="en-GB"/>
        </w:rPr>
      </w:pPr>
    </w:p>
    <w:p w14:paraId="6FFBCB28" w14:textId="53837208" w:rsidR="00781CEA" w:rsidRPr="008049D2" w:rsidRDefault="009312B4" w:rsidP="006C4130">
      <w:pPr>
        <w:pStyle w:val="Heading1"/>
        <w:numPr>
          <w:ilvl w:val="0"/>
          <w:numId w:val="26"/>
        </w:numPr>
        <w:ind w:left="709"/>
        <w:rPr>
          <w:sz w:val="22"/>
          <w:szCs w:val="22"/>
          <w:lang w:val="en-GB"/>
        </w:rPr>
      </w:pPr>
      <w:r w:rsidRPr="008049D2">
        <w:rPr>
          <w:sz w:val="22"/>
          <w:szCs w:val="22"/>
          <w:lang w:val="en-GB"/>
        </w:rPr>
        <w:t>Engagement policies</w:t>
      </w:r>
      <w:r w:rsidR="00C9230F">
        <w:rPr>
          <w:sz w:val="22"/>
          <w:szCs w:val="22"/>
          <w:lang w:val="en-GB"/>
        </w:rPr>
        <w:t xml:space="preserve"> </w:t>
      </w:r>
    </w:p>
    <w:p w14:paraId="17D6DB62" w14:textId="6EB98B83" w:rsidR="00B62810" w:rsidRDefault="00B62810" w:rsidP="00B62810">
      <w:pPr>
        <w:pStyle w:val="ListParagraph"/>
        <w:spacing w:after="200" w:line="276" w:lineRule="auto"/>
        <w:ind w:left="0"/>
        <w:jc w:val="both"/>
        <w:rPr>
          <w:iCs/>
          <w:sz w:val="22"/>
          <w:szCs w:val="22"/>
          <w:lang w:val="en-GB"/>
        </w:rPr>
      </w:pPr>
      <w:r w:rsidRPr="00B62810">
        <w:rPr>
          <w:iCs/>
          <w:sz w:val="22"/>
          <w:szCs w:val="22"/>
          <w:lang w:val="en-GB"/>
        </w:rPr>
        <w:t xml:space="preserve">The Manager </w:t>
      </w:r>
      <w:r w:rsidR="00881BD3">
        <w:rPr>
          <w:iCs/>
          <w:sz w:val="22"/>
          <w:szCs w:val="22"/>
          <w:lang w:val="en-GB"/>
        </w:rPr>
        <w:t xml:space="preserve">will actively engage with target </w:t>
      </w:r>
      <w:r w:rsidRPr="00B62810">
        <w:rPr>
          <w:iCs/>
          <w:sz w:val="22"/>
          <w:szCs w:val="22"/>
          <w:lang w:val="en-GB"/>
        </w:rPr>
        <w:t>companies/</w:t>
      </w:r>
      <w:r w:rsidR="00D43491">
        <w:rPr>
          <w:iCs/>
          <w:sz w:val="22"/>
          <w:szCs w:val="22"/>
          <w:lang w:val="en-GB"/>
        </w:rPr>
        <w:t>i</w:t>
      </w:r>
      <w:r w:rsidRPr="00B62810">
        <w:rPr>
          <w:iCs/>
          <w:sz w:val="22"/>
          <w:szCs w:val="22"/>
          <w:lang w:val="en-GB"/>
        </w:rPr>
        <w:t>nvestments.</w:t>
      </w:r>
    </w:p>
    <w:p w14:paraId="7B2F04D2" w14:textId="77777777" w:rsidR="00CB6FB4" w:rsidRPr="008049D2" w:rsidRDefault="00CB6FB4" w:rsidP="001E6FD1">
      <w:pPr>
        <w:pStyle w:val="ListParagraph"/>
        <w:spacing w:after="200" w:line="276" w:lineRule="auto"/>
        <w:ind w:left="0"/>
        <w:jc w:val="both"/>
        <w:rPr>
          <w:sz w:val="22"/>
          <w:szCs w:val="22"/>
          <w:lang w:val="en-GB"/>
        </w:rPr>
      </w:pPr>
    </w:p>
    <w:p w14:paraId="53F65924" w14:textId="5F2A20DE" w:rsidR="007E6C40" w:rsidRPr="008049D2" w:rsidRDefault="007E6C40" w:rsidP="001E6FD1">
      <w:pPr>
        <w:pStyle w:val="ListParagraph"/>
        <w:spacing w:after="200" w:line="276" w:lineRule="auto"/>
        <w:ind w:left="0"/>
        <w:jc w:val="both"/>
        <w:rPr>
          <w:sz w:val="22"/>
          <w:szCs w:val="22"/>
          <w:lang w:val="en-GB"/>
        </w:rPr>
      </w:pPr>
      <w:r w:rsidRPr="008049D2">
        <w:rPr>
          <w:sz w:val="22"/>
          <w:szCs w:val="22"/>
          <w:lang w:val="en-GB"/>
        </w:rPr>
        <w:t>Please</w:t>
      </w:r>
      <w:r w:rsidR="00CB6FB4" w:rsidRPr="008049D2">
        <w:rPr>
          <w:sz w:val="22"/>
          <w:szCs w:val="22"/>
          <w:lang w:val="en-GB"/>
        </w:rPr>
        <w:t xml:space="preserve"> also</w:t>
      </w:r>
      <w:r w:rsidRPr="008049D2">
        <w:rPr>
          <w:sz w:val="22"/>
          <w:szCs w:val="22"/>
          <w:lang w:val="en-GB"/>
        </w:rPr>
        <w:t xml:space="preserve"> refer to section IV “Investment </w:t>
      </w:r>
      <w:r w:rsidR="00CA0517">
        <w:rPr>
          <w:sz w:val="22"/>
          <w:szCs w:val="22"/>
          <w:lang w:val="en-GB"/>
        </w:rPr>
        <w:t>s</w:t>
      </w:r>
      <w:r w:rsidRPr="008049D2">
        <w:rPr>
          <w:sz w:val="22"/>
          <w:szCs w:val="22"/>
          <w:lang w:val="en-GB"/>
        </w:rPr>
        <w:t>trategy” above for further details.</w:t>
      </w:r>
    </w:p>
    <w:p w14:paraId="5C3ECC59" w14:textId="77777777" w:rsidR="007E6C40" w:rsidRPr="008049D2" w:rsidRDefault="007E6C40" w:rsidP="00781CEA">
      <w:pPr>
        <w:pStyle w:val="ListParagraph"/>
        <w:spacing w:after="200" w:line="276" w:lineRule="auto"/>
        <w:jc w:val="both"/>
        <w:rPr>
          <w:sz w:val="22"/>
          <w:szCs w:val="22"/>
          <w:lang w:val="en-GB"/>
        </w:rPr>
      </w:pPr>
    </w:p>
    <w:p w14:paraId="66CF989B" w14:textId="6E3BBD49" w:rsidR="00DB7ECC" w:rsidRPr="008049D2" w:rsidRDefault="00097FD4" w:rsidP="006C4130">
      <w:pPr>
        <w:pStyle w:val="Heading1"/>
        <w:numPr>
          <w:ilvl w:val="0"/>
          <w:numId w:val="26"/>
        </w:numPr>
        <w:ind w:left="709"/>
        <w:rPr>
          <w:sz w:val="22"/>
          <w:szCs w:val="22"/>
          <w:lang w:val="en-GB"/>
        </w:rPr>
      </w:pPr>
      <w:r>
        <w:rPr>
          <w:sz w:val="22"/>
          <w:szCs w:val="22"/>
          <w:lang w:val="en-GB"/>
        </w:rPr>
        <w:t>Attainment of the sustainable investment objective</w:t>
      </w:r>
    </w:p>
    <w:p w14:paraId="60457EB5" w14:textId="000C618C" w:rsidR="00CC2DA9" w:rsidRDefault="00DB7ECC" w:rsidP="001E6FD1">
      <w:pPr>
        <w:pStyle w:val="ListParagraph"/>
        <w:spacing w:after="200" w:line="276" w:lineRule="auto"/>
        <w:ind w:left="0"/>
        <w:jc w:val="both"/>
        <w:rPr>
          <w:sz w:val="22"/>
          <w:szCs w:val="22"/>
          <w:lang w:val="en-GB"/>
        </w:rPr>
      </w:pPr>
      <w:r w:rsidRPr="008049D2">
        <w:rPr>
          <w:sz w:val="22"/>
          <w:szCs w:val="22"/>
          <w:lang w:val="en-GB"/>
        </w:rPr>
        <w:t>The Fund pursues an active investment management strategy and therefore does not invest by reference to any index and does not intend to do so.</w:t>
      </w:r>
    </w:p>
    <w:p w14:paraId="7606EE7B" w14:textId="02F7CE7D" w:rsidR="006A1FA4" w:rsidRDefault="006A1FA4" w:rsidP="001E6FD1">
      <w:pPr>
        <w:pStyle w:val="ListParagraph"/>
        <w:spacing w:after="200" w:line="276" w:lineRule="auto"/>
        <w:ind w:left="0"/>
        <w:jc w:val="both"/>
        <w:rPr>
          <w:sz w:val="22"/>
          <w:szCs w:val="22"/>
          <w:lang w:val="en-GB"/>
        </w:rPr>
      </w:pPr>
    </w:p>
    <w:p w14:paraId="4EDAD05B" w14:textId="53841943" w:rsidR="00E15BBA" w:rsidRDefault="00E15BBA" w:rsidP="009312B4">
      <w:pPr>
        <w:rPr>
          <w:sz w:val="22"/>
          <w:szCs w:val="22"/>
          <w:lang w:val="en-GB"/>
        </w:rPr>
      </w:pPr>
      <w:r>
        <w:rPr>
          <w:sz w:val="22"/>
          <w:szCs w:val="22"/>
          <w:lang w:val="en-GB"/>
        </w:rPr>
        <w:br w:type="page"/>
      </w:r>
    </w:p>
    <w:p w14:paraId="18FD34C3" w14:textId="77777777" w:rsidR="00E15BBA" w:rsidRDefault="00E15BBA" w:rsidP="00E15BBA">
      <w:pPr>
        <w:pStyle w:val="Body"/>
        <w:spacing w:after="60"/>
        <w:jc w:val="center"/>
        <w:rPr>
          <w:rFonts w:ascii="Lato" w:eastAsiaTheme="minorEastAsia" w:hAnsi="Lato"/>
          <w:b/>
          <w:bCs/>
          <w:color w:val="002060"/>
          <w:kern w:val="0"/>
          <w:sz w:val="26"/>
          <w:szCs w:val="26"/>
          <w:lang w:eastAsia="zh-CN"/>
        </w:rPr>
      </w:pPr>
      <w:r w:rsidRPr="00AD2C96">
        <w:rPr>
          <w:rFonts w:ascii="Lato" w:eastAsiaTheme="minorEastAsia" w:hAnsi="Lato"/>
          <w:b/>
          <w:bCs/>
          <w:color w:val="002060"/>
          <w:kern w:val="0"/>
          <w:sz w:val="26"/>
          <w:szCs w:val="26"/>
          <w:lang w:eastAsia="zh-CN"/>
        </w:rPr>
        <w:lastRenderedPageBreak/>
        <w:t xml:space="preserve">BlueEarth Climate Growth Fund I, S.C.A., SICAV-RAIF </w:t>
      </w:r>
    </w:p>
    <w:p w14:paraId="44DDE54C" w14:textId="77777777" w:rsidR="00E15BBA" w:rsidRPr="008049D2" w:rsidRDefault="00E15BBA" w:rsidP="00E15BBA">
      <w:pPr>
        <w:pStyle w:val="Heading1"/>
        <w:numPr>
          <w:ilvl w:val="0"/>
          <w:numId w:val="26"/>
        </w:numPr>
        <w:ind w:left="709"/>
        <w:rPr>
          <w:sz w:val="22"/>
          <w:szCs w:val="22"/>
          <w:lang w:val="en-GB"/>
        </w:rPr>
      </w:pPr>
      <w:r w:rsidRPr="008049D2">
        <w:rPr>
          <w:sz w:val="22"/>
          <w:szCs w:val="22"/>
          <w:lang w:val="en-GB"/>
        </w:rPr>
        <w:t xml:space="preserve">Summary </w:t>
      </w:r>
    </w:p>
    <w:p w14:paraId="0FB260E4" w14:textId="77777777" w:rsidR="00E15BBA" w:rsidRDefault="00E15BBA" w:rsidP="00E15BBA">
      <w:pPr>
        <w:pStyle w:val="ListParagraph"/>
        <w:spacing w:after="200" w:line="276" w:lineRule="auto"/>
        <w:ind w:left="0"/>
        <w:jc w:val="both"/>
        <w:rPr>
          <w:sz w:val="22"/>
          <w:szCs w:val="22"/>
          <w:lang w:val="en-GB"/>
        </w:rPr>
      </w:pPr>
      <w:r w:rsidRPr="008049D2">
        <w:rPr>
          <w:sz w:val="22"/>
          <w:szCs w:val="22"/>
          <w:lang w:val="en-GB"/>
        </w:rPr>
        <w:t xml:space="preserve">The Regulation (EU) 2019/2088 of the European Parliament and of the Council of 27 November 2019 on sustainability-related disclosures in the financial services sector </w:t>
      </w:r>
      <w:r>
        <w:rPr>
          <w:sz w:val="22"/>
          <w:szCs w:val="22"/>
          <w:lang w:val="en-GB"/>
        </w:rPr>
        <w:t>(the “</w:t>
      </w:r>
      <w:r w:rsidRPr="000B5D4D">
        <w:rPr>
          <w:b/>
          <w:bCs/>
          <w:sz w:val="22"/>
          <w:szCs w:val="22"/>
          <w:lang w:val="en-GB"/>
        </w:rPr>
        <w:t>SFDR</w:t>
      </w:r>
      <w:r>
        <w:rPr>
          <w:sz w:val="22"/>
          <w:szCs w:val="22"/>
          <w:lang w:val="en-GB"/>
        </w:rPr>
        <w:t xml:space="preserve">”) and the </w:t>
      </w:r>
      <w:r w:rsidRPr="00D53EFD">
        <w:rPr>
          <w:sz w:val="22"/>
          <w:szCs w:val="22"/>
          <w:lang w:val="en-GB"/>
        </w:rPr>
        <w:t>Regulation</w:t>
      </w:r>
      <w:r>
        <w:rPr>
          <w:sz w:val="22"/>
          <w:szCs w:val="22"/>
          <w:lang w:val="en-GB"/>
        </w:rPr>
        <w:t xml:space="preserve"> (EU)</w:t>
      </w:r>
      <w:r w:rsidRPr="00D53EFD">
        <w:rPr>
          <w:sz w:val="22"/>
          <w:szCs w:val="22"/>
          <w:lang w:val="en-GB"/>
        </w:rPr>
        <w:t xml:space="preserve"> 2020/852 on the establishment of a framework to facilitate sustainable investment and amending EU Regulation 2019/2088 </w:t>
      </w:r>
      <w:r>
        <w:rPr>
          <w:sz w:val="22"/>
          <w:szCs w:val="22"/>
          <w:lang w:val="en-GB"/>
        </w:rPr>
        <w:t>(the “</w:t>
      </w:r>
      <w:r w:rsidRPr="000B5D4D">
        <w:rPr>
          <w:b/>
          <w:bCs/>
          <w:sz w:val="22"/>
          <w:szCs w:val="22"/>
          <w:lang w:val="en-GB"/>
        </w:rPr>
        <w:t>Taxonomy Regulation</w:t>
      </w:r>
      <w:r>
        <w:rPr>
          <w:sz w:val="22"/>
          <w:szCs w:val="22"/>
          <w:lang w:val="en-GB"/>
        </w:rPr>
        <w:t xml:space="preserve">”) </w:t>
      </w:r>
      <w:r w:rsidRPr="008049D2">
        <w:rPr>
          <w:sz w:val="22"/>
          <w:szCs w:val="22"/>
          <w:lang w:val="en-GB"/>
        </w:rPr>
        <w:t>(</w:t>
      </w:r>
      <w:r>
        <w:rPr>
          <w:sz w:val="22"/>
          <w:szCs w:val="22"/>
          <w:lang w:val="en-GB"/>
        </w:rPr>
        <w:t xml:space="preserve">together </w:t>
      </w:r>
      <w:r w:rsidRPr="008049D2">
        <w:rPr>
          <w:sz w:val="22"/>
          <w:szCs w:val="22"/>
          <w:lang w:val="en-GB"/>
        </w:rPr>
        <w:t>the “</w:t>
      </w:r>
      <w:r w:rsidRPr="00681F53">
        <w:rPr>
          <w:b/>
          <w:bCs/>
          <w:sz w:val="22"/>
          <w:szCs w:val="22"/>
          <w:lang w:val="en-GB"/>
        </w:rPr>
        <w:t>Disclosure Regulation</w:t>
      </w:r>
      <w:r>
        <w:rPr>
          <w:b/>
          <w:bCs/>
          <w:sz w:val="22"/>
          <w:szCs w:val="22"/>
          <w:lang w:val="en-GB"/>
        </w:rPr>
        <w:t>s</w:t>
      </w:r>
      <w:r w:rsidRPr="008049D2">
        <w:rPr>
          <w:sz w:val="22"/>
          <w:szCs w:val="22"/>
          <w:lang w:val="en-GB"/>
        </w:rPr>
        <w:t>”) aim at providing more transparency to investors on sustainability risk integration, on the consideration of adverse sustainability impacts in the investment processes on the promotion of environmental, social and/or governance (“</w:t>
      </w:r>
      <w:r w:rsidRPr="00681F53">
        <w:rPr>
          <w:b/>
          <w:bCs/>
          <w:sz w:val="22"/>
          <w:szCs w:val="22"/>
          <w:lang w:val="en-GB"/>
        </w:rPr>
        <w:t>ESG</w:t>
      </w:r>
      <w:r w:rsidRPr="008049D2">
        <w:rPr>
          <w:sz w:val="22"/>
          <w:szCs w:val="22"/>
          <w:lang w:val="en-GB"/>
        </w:rPr>
        <w:t>”) factors</w:t>
      </w:r>
      <w:r>
        <w:rPr>
          <w:sz w:val="22"/>
          <w:szCs w:val="22"/>
          <w:lang w:val="en-GB"/>
        </w:rPr>
        <w:t>, and on having sustainable investment objective</w:t>
      </w:r>
      <w:r w:rsidRPr="008049D2">
        <w:rPr>
          <w:sz w:val="22"/>
          <w:szCs w:val="22"/>
          <w:lang w:val="en-GB"/>
        </w:rPr>
        <w:t xml:space="preserve">. </w:t>
      </w:r>
      <w:proofErr w:type="gramStart"/>
      <w:r w:rsidRPr="008049D2">
        <w:rPr>
          <w:sz w:val="22"/>
          <w:szCs w:val="22"/>
          <w:lang w:val="en-GB"/>
        </w:rPr>
        <w:t>In particular, it</w:t>
      </w:r>
      <w:proofErr w:type="gramEnd"/>
      <w:r w:rsidRPr="008049D2">
        <w:rPr>
          <w:sz w:val="22"/>
          <w:szCs w:val="22"/>
          <w:lang w:val="en-GB"/>
        </w:rPr>
        <w:t xml:space="preserve"> requires fund managers and advisers to disclose specific ESG-related information to investors on their websites. </w:t>
      </w:r>
    </w:p>
    <w:p w14:paraId="493BBADB" w14:textId="77777777" w:rsidR="00E15BBA" w:rsidRPr="008049D2" w:rsidRDefault="00E15BBA" w:rsidP="00E15BBA">
      <w:pPr>
        <w:pStyle w:val="ListParagraph"/>
        <w:spacing w:after="200" w:line="276" w:lineRule="auto"/>
        <w:ind w:left="0"/>
        <w:jc w:val="both"/>
        <w:rPr>
          <w:sz w:val="22"/>
          <w:szCs w:val="22"/>
          <w:lang w:val="en-GB"/>
        </w:rPr>
      </w:pPr>
    </w:p>
    <w:p w14:paraId="137C4DF6" w14:textId="77777777" w:rsidR="00E15BBA" w:rsidRDefault="00E15BBA" w:rsidP="00E15BBA">
      <w:pPr>
        <w:pStyle w:val="ListParagraph"/>
        <w:spacing w:after="200" w:line="276" w:lineRule="auto"/>
        <w:ind w:left="0"/>
        <w:jc w:val="both"/>
        <w:rPr>
          <w:sz w:val="22"/>
          <w:szCs w:val="22"/>
          <w:lang w:val="en-GB"/>
        </w:rPr>
      </w:pPr>
      <w:r w:rsidRPr="00E576C1">
        <w:rPr>
          <w:sz w:val="22"/>
          <w:szCs w:val="22"/>
          <w:lang w:val="en-GB"/>
        </w:rPr>
        <w:t>The Disclosure Regulations will be complemented by the EU implementing measures (so-called regulatory and technical standards or “</w:t>
      </w:r>
      <w:r w:rsidRPr="00E576C1">
        <w:rPr>
          <w:b/>
          <w:bCs/>
          <w:sz w:val="22"/>
          <w:szCs w:val="22"/>
          <w:lang w:val="en-GB"/>
        </w:rPr>
        <w:t>RTS</w:t>
      </w:r>
      <w:r w:rsidRPr="00E576C1">
        <w:rPr>
          <w:sz w:val="22"/>
          <w:szCs w:val="22"/>
          <w:lang w:val="en-GB"/>
        </w:rPr>
        <w:t>”),</w:t>
      </w:r>
      <w:r>
        <w:rPr>
          <w:sz w:val="22"/>
          <w:szCs w:val="22"/>
          <w:lang w:val="en-GB"/>
        </w:rPr>
        <w:t xml:space="preserve"> as from 1 January 2023</w:t>
      </w:r>
      <w:r w:rsidRPr="00E576C1">
        <w:rPr>
          <w:sz w:val="22"/>
          <w:szCs w:val="22"/>
          <w:lang w:val="en-GB"/>
        </w:rPr>
        <w:t xml:space="preserve">. All sustainability-related disclosures herein are therefore based on the </w:t>
      </w:r>
      <w:r>
        <w:rPr>
          <w:sz w:val="22"/>
          <w:szCs w:val="22"/>
          <w:lang w:val="en-GB"/>
        </w:rPr>
        <w:t>final</w:t>
      </w:r>
      <w:r w:rsidRPr="00E576C1">
        <w:rPr>
          <w:sz w:val="22"/>
          <w:szCs w:val="22"/>
          <w:lang w:val="en-GB"/>
        </w:rPr>
        <w:t xml:space="preserve"> RTS published by the European Supervisory Authorities on </w:t>
      </w:r>
      <w:r>
        <w:rPr>
          <w:sz w:val="22"/>
          <w:szCs w:val="22"/>
          <w:lang w:val="en-GB"/>
        </w:rPr>
        <w:t>6 April</w:t>
      </w:r>
      <w:r w:rsidRPr="00E576C1">
        <w:rPr>
          <w:sz w:val="22"/>
          <w:szCs w:val="22"/>
          <w:lang w:val="en-GB"/>
        </w:rPr>
        <w:t xml:space="preserve"> 202</w:t>
      </w:r>
      <w:r>
        <w:rPr>
          <w:sz w:val="22"/>
          <w:szCs w:val="22"/>
          <w:lang w:val="en-GB"/>
        </w:rPr>
        <w:t xml:space="preserve">2. </w:t>
      </w:r>
    </w:p>
    <w:p w14:paraId="22C78726" w14:textId="77777777" w:rsidR="00E15BBA" w:rsidRPr="008049D2" w:rsidRDefault="00E15BBA" w:rsidP="00E15BBA">
      <w:pPr>
        <w:pStyle w:val="ListParagraph"/>
        <w:spacing w:after="200" w:line="276" w:lineRule="auto"/>
        <w:ind w:left="0"/>
        <w:jc w:val="both"/>
        <w:rPr>
          <w:sz w:val="22"/>
          <w:szCs w:val="22"/>
          <w:lang w:val="en-GB"/>
        </w:rPr>
      </w:pPr>
    </w:p>
    <w:p w14:paraId="5B9879CC" w14:textId="77777777" w:rsidR="00E15BBA" w:rsidRDefault="00E15BBA" w:rsidP="00E15BBA">
      <w:pPr>
        <w:pStyle w:val="ListParagraph"/>
        <w:spacing w:after="200" w:line="276" w:lineRule="auto"/>
        <w:ind w:left="0"/>
        <w:jc w:val="both"/>
        <w:rPr>
          <w:sz w:val="22"/>
          <w:szCs w:val="22"/>
          <w:lang w:val="en-GB"/>
        </w:rPr>
      </w:pPr>
      <w:r w:rsidRPr="00AD2C96">
        <w:rPr>
          <w:sz w:val="22"/>
          <w:szCs w:val="22"/>
          <w:lang w:val="en-GB"/>
        </w:rPr>
        <w:t>BLUEEARTH CLIMATE GROWTH FUND I, S.C.A., SICAV-RAIF</w:t>
      </w:r>
      <w:r w:rsidRPr="008049D2">
        <w:rPr>
          <w:sz w:val="22"/>
          <w:szCs w:val="22"/>
          <w:lang w:val="en-GB"/>
        </w:rPr>
        <w:t xml:space="preserve"> (the “</w:t>
      </w:r>
      <w:r w:rsidRPr="008049D2">
        <w:rPr>
          <w:b/>
          <w:bCs/>
          <w:sz w:val="22"/>
          <w:szCs w:val="22"/>
          <w:lang w:val="en-GB"/>
        </w:rPr>
        <w:t>Fund</w:t>
      </w:r>
      <w:r w:rsidRPr="008049D2">
        <w:rPr>
          <w:sz w:val="22"/>
          <w:szCs w:val="22"/>
          <w:lang w:val="en-GB"/>
        </w:rPr>
        <w:t xml:space="preserve">”) is being formed to invest in </w:t>
      </w:r>
      <w:r w:rsidRPr="00866466">
        <w:rPr>
          <w:sz w:val="22"/>
          <w:szCs w:val="22"/>
          <w:lang w:val="en-GB"/>
        </w:rPr>
        <w:t>private equity</w:t>
      </w:r>
      <w:r>
        <w:rPr>
          <w:sz w:val="22"/>
          <w:szCs w:val="22"/>
          <w:lang w:val="en-GB"/>
        </w:rPr>
        <w:t>.</w:t>
      </w:r>
      <w:r w:rsidRPr="008049D2">
        <w:rPr>
          <w:sz w:val="22"/>
          <w:szCs w:val="22"/>
          <w:lang w:val="en-GB"/>
        </w:rPr>
        <w:t xml:space="preserve"> </w:t>
      </w:r>
      <w:r w:rsidRPr="009E23C4">
        <w:rPr>
          <w:sz w:val="22"/>
          <w:szCs w:val="22"/>
          <w:lang w:val="en-GB"/>
        </w:rPr>
        <w:t xml:space="preserve">The Fund is managed by its alternative investment fund manager, Alter Domus Management Company </w:t>
      </w:r>
      <w:proofErr w:type="gramStart"/>
      <w:r w:rsidRPr="009E23C4">
        <w:rPr>
          <w:sz w:val="22"/>
          <w:szCs w:val="22"/>
          <w:lang w:val="en-GB"/>
        </w:rPr>
        <w:t>S.A..</w:t>
      </w:r>
      <w:proofErr w:type="gramEnd"/>
      <w:r w:rsidRPr="009E23C4">
        <w:rPr>
          <w:sz w:val="22"/>
          <w:szCs w:val="22"/>
          <w:lang w:val="en-GB"/>
        </w:rPr>
        <w:t xml:space="preserve"> (the “</w:t>
      </w:r>
      <w:r w:rsidRPr="009E23C4">
        <w:rPr>
          <w:b/>
          <w:bCs/>
          <w:sz w:val="22"/>
          <w:szCs w:val="22"/>
          <w:lang w:val="en-GB"/>
        </w:rPr>
        <w:t>Manager</w:t>
      </w:r>
      <w:r w:rsidRPr="009E23C4">
        <w:rPr>
          <w:sz w:val="22"/>
          <w:szCs w:val="22"/>
          <w:lang w:val="en-GB"/>
        </w:rPr>
        <w:t xml:space="preserve">”). </w:t>
      </w:r>
      <w:r w:rsidRPr="009E23C4">
        <w:rPr>
          <w:rFonts w:eastAsia="Calibri" w:cstheme="minorHAnsi"/>
          <w:bCs/>
          <w:sz w:val="22"/>
          <w:szCs w:val="22"/>
        </w:rPr>
        <w:t>Blue Earth Capital AG</w:t>
      </w:r>
      <w:r w:rsidRPr="009E23C4" w:rsidDel="009A53D6">
        <w:rPr>
          <w:sz w:val="22"/>
          <w:szCs w:val="22"/>
          <w:lang w:val="en-GB"/>
        </w:rPr>
        <w:t xml:space="preserve"> </w:t>
      </w:r>
      <w:r w:rsidRPr="009E23C4">
        <w:rPr>
          <w:sz w:val="22"/>
          <w:szCs w:val="22"/>
          <w:lang w:val="en-GB"/>
        </w:rPr>
        <w:t xml:space="preserve">acts in the capacity as </w:t>
      </w:r>
      <w:r>
        <w:rPr>
          <w:sz w:val="22"/>
          <w:szCs w:val="22"/>
          <w:lang w:val="en-GB"/>
        </w:rPr>
        <w:t>a</w:t>
      </w:r>
      <w:r w:rsidRPr="009E23C4">
        <w:rPr>
          <w:sz w:val="22"/>
          <w:szCs w:val="22"/>
          <w:lang w:val="en-GB"/>
        </w:rPr>
        <w:t>dviser to the Manager</w:t>
      </w:r>
      <w:r>
        <w:rPr>
          <w:sz w:val="22"/>
          <w:szCs w:val="22"/>
          <w:lang w:val="en-GB"/>
        </w:rPr>
        <w:t xml:space="preserve"> (the “</w:t>
      </w:r>
      <w:r w:rsidRPr="00C652A7">
        <w:rPr>
          <w:b/>
          <w:bCs/>
          <w:sz w:val="22"/>
          <w:szCs w:val="22"/>
          <w:lang w:val="en-GB"/>
        </w:rPr>
        <w:t>Adviser</w:t>
      </w:r>
      <w:r>
        <w:rPr>
          <w:sz w:val="22"/>
          <w:szCs w:val="22"/>
          <w:lang w:val="en-GB"/>
        </w:rPr>
        <w:t>”)</w:t>
      </w:r>
      <w:r w:rsidRPr="009E23C4">
        <w:rPr>
          <w:sz w:val="22"/>
          <w:szCs w:val="22"/>
          <w:lang w:val="en-GB"/>
        </w:rPr>
        <w:t>.</w:t>
      </w:r>
      <w:r w:rsidRPr="00BE7D83">
        <w:rPr>
          <w:sz w:val="22"/>
          <w:szCs w:val="22"/>
          <w:lang w:val="en-GB"/>
        </w:rPr>
        <w:t xml:space="preserve"> The </w:t>
      </w:r>
      <w:r>
        <w:rPr>
          <w:sz w:val="22"/>
          <w:szCs w:val="22"/>
          <w:lang w:val="en-GB"/>
        </w:rPr>
        <w:t xml:space="preserve">below </w:t>
      </w:r>
      <w:r w:rsidRPr="00BE7D83">
        <w:rPr>
          <w:sz w:val="22"/>
          <w:szCs w:val="22"/>
          <w:lang w:val="en-GB"/>
        </w:rPr>
        <w:t>information from the Manager is based on the consultation, information and recommendations received from the Adviser.</w:t>
      </w:r>
      <w:r>
        <w:rPr>
          <w:sz w:val="22"/>
          <w:szCs w:val="22"/>
          <w:lang w:val="en-GB"/>
        </w:rPr>
        <w:t xml:space="preserve"> To achieve the sustainable investment objective of the Fund, t</w:t>
      </w:r>
      <w:r w:rsidRPr="008049D2">
        <w:rPr>
          <w:sz w:val="22"/>
          <w:szCs w:val="22"/>
          <w:lang w:val="en-GB"/>
        </w:rPr>
        <w:t>he Manager</w:t>
      </w:r>
      <w:r>
        <w:rPr>
          <w:sz w:val="22"/>
          <w:szCs w:val="22"/>
          <w:lang w:val="en-GB"/>
        </w:rPr>
        <w:t xml:space="preserve"> </w:t>
      </w:r>
      <w:r w:rsidRPr="001178F9">
        <w:rPr>
          <w:sz w:val="22"/>
          <w:szCs w:val="22"/>
          <w:lang w:val="en-GB"/>
        </w:rPr>
        <w:t xml:space="preserve">is committed to investing in a responsible way by actively integrating </w:t>
      </w:r>
      <w:r>
        <w:rPr>
          <w:sz w:val="22"/>
          <w:szCs w:val="22"/>
          <w:lang w:val="en-GB"/>
        </w:rPr>
        <w:t xml:space="preserve">ESG </w:t>
      </w:r>
      <w:r w:rsidRPr="001178F9">
        <w:rPr>
          <w:sz w:val="22"/>
          <w:szCs w:val="22"/>
          <w:lang w:val="en-GB"/>
        </w:rPr>
        <w:t>considerations in its investment selection and ongoing monitoring process</w:t>
      </w:r>
      <w:r>
        <w:rPr>
          <w:sz w:val="22"/>
          <w:szCs w:val="22"/>
          <w:lang w:val="en-GB"/>
        </w:rPr>
        <w:t>.</w:t>
      </w:r>
    </w:p>
    <w:p w14:paraId="03855B68" w14:textId="77777777" w:rsidR="00E15BBA" w:rsidRDefault="00E15BBA" w:rsidP="00E15BBA">
      <w:pPr>
        <w:pStyle w:val="ListParagraph"/>
        <w:spacing w:after="200" w:line="276" w:lineRule="auto"/>
        <w:ind w:left="0"/>
        <w:jc w:val="both"/>
        <w:rPr>
          <w:sz w:val="22"/>
          <w:szCs w:val="22"/>
          <w:lang w:val="en-GB"/>
        </w:rPr>
      </w:pPr>
    </w:p>
    <w:p w14:paraId="2E106585" w14:textId="77777777" w:rsidR="00E15BBA" w:rsidRDefault="00E15BBA" w:rsidP="00E15BBA">
      <w:pPr>
        <w:pStyle w:val="ListParagraph"/>
        <w:spacing w:after="200" w:line="276" w:lineRule="auto"/>
        <w:ind w:left="0"/>
        <w:jc w:val="both"/>
        <w:rPr>
          <w:sz w:val="22"/>
          <w:szCs w:val="22"/>
          <w:lang w:val="en-GB"/>
        </w:rPr>
      </w:pPr>
      <w:r w:rsidRPr="006A147A">
        <w:rPr>
          <w:sz w:val="22"/>
          <w:szCs w:val="22"/>
          <w:lang w:val="en-GB"/>
        </w:rPr>
        <w:t xml:space="preserve">The sustainable investment objective of the Fund is to contribute to activities that try to accelerate the net zero transition, improve society’s resilience to climate change and promote </w:t>
      </w:r>
      <w:r>
        <w:rPr>
          <w:sz w:val="22"/>
          <w:szCs w:val="22"/>
          <w:lang w:val="en-GB"/>
        </w:rPr>
        <w:t xml:space="preserve">resource efficiency. </w:t>
      </w:r>
      <w:r w:rsidRPr="001178F9">
        <w:rPr>
          <w:sz w:val="22"/>
          <w:szCs w:val="22"/>
          <w:lang w:val="en-GB"/>
        </w:rPr>
        <w:t xml:space="preserve">The Fund will consider principal adverse sustainability </w:t>
      </w:r>
      <w:r w:rsidRPr="006F3874">
        <w:rPr>
          <w:sz w:val="22"/>
          <w:szCs w:val="22"/>
          <w:lang w:val="en-GB"/>
        </w:rPr>
        <w:t xml:space="preserve">impacts </w:t>
      </w:r>
      <w:r>
        <w:rPr>
          <w:sz w:val="22"/>
          <w:szCs w:val="22"/>
          <w:lang w:val="en-GB"/>
        </w:rPr>
        <w:t>(the “</w:t>
      </w:r>
      <w:r w:rsidRPr="005A2D87">
        <w:rPr>
          <w:b/>
          <w:bCs/>
          <w:sz w:val="22"/>
          <w:szCs w:val="22"/>
          <w:lang w:val="en-GB"/>
        </w:rPr>
        <w:t>PASI</w:t>
      </w:r>
      <w:r>
        <w:rPr>
          <w:b/>
          <w:bCs/>
          <w:sz w:val="22"/>
          <w:szCs w:val="22"/>
          <w:lang w:val="en-GB"/>
        </w:rPr>
        <w:t>s</w:t>
      </w:r>
      <w:r>
        <w:rPr>
          <w:sz w:val="22"/>
          <w:szCs w:val="22"/>
          <w:lang w:val="en-GB"/>
        </w:rPr>
        <w:t xml:space="preserve">”) </w:t>
      </w:r>
      <w:r w:rsidRPr="006F3874">
        <w:rPr>
          <w:sz w:val="22"/>
          <w:szCs w:val="22"/>
          <w:lang w:val="en-GB"/>
        </w:rPr>
        <w:t xml:space="preserve">as defined in </w:t>
      </w:r>
      <w:r>
        <w:rPr>
          <w:sz w:val="22"/>
          <w:szCs w:val="22"/>
          <w:lang w:val="en-GB"/>
        </w:rPr>
        <w:t xml:space="preserve">SFDR and documented in the annex I of the RTS. The Manager undertakes an initial assessment of the PASIs indicators as part of the ESG due diligence completed for each </w:t>
      </w:r>
      <w:proofErr w:type="spellStart"/>
      <w:proofErr w:type="gramStart"/>
      <w:r>
        <w:rPr>
          <w:sz w:val="22"/>
          <w:szCs w:val="22"/>
          <w:lang w:val="en-GB"/>
        </w:rPr>
        <w:t>investment.Besides</w:t>
      </w:r>
      <w:proofErr w:type="spellEnd"/>
      <w:proofErr w:type="gramEnd"/>
      <w:r>
        <w:rPr>
          <w:sz w:val="22"/>
          <w:szCs w:val="22"/>
          <w:lang w:val="en-GB"/>
        </w:rPr>
        <w:t>,</w:t>
      </w:r>
      <w:r w:rsidRPr="006F3874">
        <w:rPr>
          <w:sz w:val="22"/>
          <w:szCs w:val="22"/>
          <w:lang w:val="en-GB"/>
        </w:rPr>
        <w:t xml:space="preserve"> </w:t>
      </w:r>
      <w:r>
        <w:rPr>
          <w:sz w:val="22"/>
          <w:szCs w:val="22"/>
          <w:lang w:val="en-GB"/>
        </w:rPr>
        <w:t xml:space="preserve">the Fund </w:t>
      </w:r>
      <w:r w:rsidRPr="00FD70CB">
        <w:rPr>
          <w:sz w:val="22"/>
          <w:szCs w:val="22"/>
          <w:lang w:val="en-GB"/>
        </w:rPr>
        <w:t>follows a comprehensive impact assessment including an analysis of risk factors based on the IMP</w:t>
      </w:r>
      <w:r>
        <w:rPr>
          <w:rStyle w:val="FootnoteReference"/>
          <w:sz w:val="22"/>
          <w:szCs w:val="22"/>
          <w:lang w:val="en-GB"/>
        </w:rPr>
        <w:footnoteReference w:id="4"/>
      </w:r>
      <w:r w:rsidRPr="00FD70CB">
        <w:rPr>
          <w:sz w:val="22"/>
          <w:szCs w:val="22"/>
          <w:lang w:val="en-GB"/>
        </w:rPr>
        <w:t xml:space="preserve"> methodology</w:t>
      </w:r>
      <w:r w:rsidRPr="006F3874">
        <w:rPr>
          <w:sz w:val="22"/>
          <w:szCs w:val="22"/>
          <w:lang w:val="en-GB"/>
        </w:rPr>
        <w:t>.</w:t>
      </w:r>
      <w:r>
        <w:rPr>
          <w:sz w:val="22"/>
          <w:szCs w:val="22"/>
          <w:lang w:val="en-GB"/>
        </w:rPr>
        <w:t xml:space="preserve"> </w:t>
      </w:r>
    </w:p>
    <w:p w14:paraId="461376C2" w14:textId="77777777" w:rsidR="00E15BBA" w:rsidRPr="006F3874" w:rsidRDefault="00E15BBA" w:rsidP="00E15BBA">
      <w:pPr>
        <w:pStyle w:val="ListParagraph"/>
        <w:spacing w:after="200" w:line="276" w:lineRule="auto"/>
        <w:ind w:left="0"/>
        <w:jc w:val="both"/>
        <w:rPr>
          <w:sz w:val="22"/>
          <w:szCs w:val="22"/>
          <w:lang w:val="en-GB"/>
        </w:rPr>
      </w:pPr>
    </w:p>
    <w:p w14:paraId="73BFC957" w14:textId="77777777" w:rsidR="00E15BBA" w:rsidRDefault="00E15BBA" w:rsidP="00E15BBA">
      <w:pPr>
        <w:pStyle w:val="ListParagraph"/>
        <w:spacing w:after="200" w:line="276" w:lineRule="auto"/>
        <w:ind w:left="0"/>
        <w:jc w:val="both"/>
        <w:rPr>
          <w:sz w:val="22"/>
          <w:szCs w:val="22"/>
          <w:lang w:val="en-GB"/>
        </w:rPr>
      </w:pPr>
      <w:r w:rsidRPr="006F3874">
        <w:rPr>
          <w:sz w:val="22"/>
          <w:szCs w:val="22"/>
          <w:lang w:val="en-GB"/>
        </w:rPr>
        <w:t xml:space="preserve">The Fund has a private market strategy aiming at both generating positive financial return and at achieving positive </w:t>
      </w:r>
      <w:r>
        <w:rPr>
          <w:sz w:val="22"/>
          <w:szCs w:val="22"/>
          <w:lang w:val="en-GB"/>
        </w:rPr>
        <w:t>climate impact</w:t>
      </w:r>
      <w:r w:rsidRPr="006F3874">
        <w:rPr>
          <w:sz w:val="22"/>
          <w:szCs w:val="22"/>
          <w:lang w:val="en-GB"/>
        </w:rPr>
        <w:t xml:space="preserve">. </w:t>
      </w:r>
      <w:r>
        <w:rPr>
          <w:rFonts w:cstheme="minorHAnsi"/>
          <w:sz w:val="22"/>
          <w:szCs w:val="22"/>
          <w:lang w:val="en-GB"/>
        </w:rPr>
        <w:t xml:space="preserve">The objective of the Fund is to invest in environmental assets, qualified as sustainable investment under SFDR. </w:t>
      </w:r>
      <w:r w:rsidRPr="006F3874">
        <w:rPr>
          <w:sz w:val="22"/>
          <w:szCs w:val="22"/>
          <w:lang w:val="en-GB"/>
        </w:rPr>
        <w:t>To achieve these objectives, the Fund integrates impact considerations throughout the investment lifecycle, including a best-in-class impact assessment and reporting methodology.</w:t>
      </w:r>
    </w:p>
    <w:p w14:paraId="1F9BF8C8" w14:textId="77777777" w:rsidR="00E15BBA" w:rsidRPr="006F3874" w:rsidRDefault="00E15BBA" w:rsidP="00E15BBA">
      <w:pPr>
        <w:pStyle w:val="ListParagraph"/>
        <w:spacing w:after="200" w:line="276" w:lineRule="auto"/>
        <w:ind w:left="0"/>
        <w:jc w:val="both"/>
        <w:rPr>
          <w:sz w:val="22"/>
          <w:szCs w:val="22"/>
          <w:lang w:val="en-GB"/>
        </w:rPr>
      </w:pPr>
    </w:p>
    <w:p w14:paraId="3DA3D2F8" w14:textId="77777777" w:rsidR="00E15BBA" w:rsidRDefault="00E15BBA" w:rsidP="00E15BBA">
      <w:pPr>
        <w:pStyle w:val="ListParagraph"/>
        <w:spacing w:after="200" w:line="276" w:lineRule="auto"/>
        <w:ind w:left="0"/>
        <w:jc w:val="both"/>
        <w:rPr>
          <w:sz w:val="22"/>
          <w:szCs w:val="22"/>
          <w:lang w:val="en-GB"/>
        </w:rPr>
      </w:pPr>
      <w:r w:rsidRPr="006F3874">
        <w:rPr>
          <w:sz w:val="22"/>
          <w:szCs w:val="22"/>
          <w:lang w:val="en-GB"/>
        </w:rPr>
        <w:t xml:space="preserve">The Manager invests in the growth of attractive </w:t>
      </w:r>
      <w:r>
        <w:rPr>
          <w:sz w:val="22"/>
          <w:szCs w:val="22"/>
          <w:lang w:val="en-GB"/>
        </w:rPr>
        <w:t>companies</w:t>
      </w:r>
      <w:r w:rsidRPr="006F3874">
        <w:rPr>
          <w:sz w:val="22"/>
          <w:szCs w:val="22"/>
          <w:lang w:val="en-GB"/>
        </w:rPr>
        <w:t xml:space="preserve"> with a proven business model, high development potential and a measurable and scalable </w:t>
      </w:r>
      <w:r>
        <w:rPr>
          <w:sz w:val="22"/>
          <w:szCs w:val="22"/>
          <w:lang w:val="en-GB"/>
        </w:rPr>
        <w:t>climate</w:t>
      </w:r>
      <w:r w:rsidRPr="006F3874">
        <w:rPr>
          <w:sz w:val="22"/>
          <w:szCs w:val="22"/>
          <w:lang w:val="en-GB"/>
        </w:rPr>
        <w:t xml:space="preserve"> impact. </w:t>
      </w:r>
      <w:r w:rsidRPr="00081FAF">
        <w:rPr>
          <w:rFonts w:eastAsia="PMingLiU" w:cstheme="minorHAnsi"/>
          <w:sz w:val="22"/>
          <w:szCs w:val="22"/>
        </w:rPr>
        <w:t xml:space="preserve">The Fund will </w:t>
      </w:r>
      <w:r>
        <w:rPr>
          <w:rFonts w:eastAsia="PMingLiU" w:cstheme="minorHAnsi"/>
          <w:sz w:val="22"/>
          <w:szCs w:val="22"/>
        </w:rPr>
        <w:t xml:space="preserve">invest in the </w:t>
      </w:r>
      <w:r>
        <w:rPr>
          <w:rFonts w:eastAsia="PMingLiU" w:cstheme="minorHAnsi"/>
          <w:sz w:val="22"/>
          <w:szCs w:val="22"/>
        </w:rPr>
        <w:lastRenderedPageBreak/>
        <w:t>following key themes to deliver meaningful climate impact: energy transition ecosystem; buildings &amp; mobility; climate intelligence; production &amp; consumption; and food &amp; agriculture</w:t>
      </w:r>
      <w:r w:rsidRPr="00081FAF">
        <w:rPr>
          <w:rFonts w:eastAsia="PMingLiU" w:cstheme="minorHAnsi"/>
          <w:sz w:val="22"/>
          <w:szCs w:val="22"/>
        </w:rPr>
        <w:t>.</w:t>
      </w:r>
      <w:r>
        <w:rPr>
          <w:rFonts w:eastAsia="PMingLiU" w:cstheme="minorHAnsi"/>
          <w:sz w:val="22"/>
          <w:szCs w:val="22"/>
        </w:rPr>
        <w:t xml:space="preserve"> </w:t>
      </w:r>
      <w:r w:rsidRPr="00EC37C1">
        <w:rPr>
          <w:sz w:val="22"/>
          <w:szCs w:val="22"/>
          <w:lang w:val="en-GB"/>
        </w:rPr>
        <w:t xml:space="preserve">Investment strategies are defined for each priority sector </w:t>
      </w:r>
      <w:proofErr w:type="gramStart"/>
      <w:r w:rsidRPr="00EC37C1">
        <w:rPr>
          <w:sz w:val="22"/>
          <w:szCs w:val="22"/>
          <w:lang w:val="en-GB"/>
        </w:rPr>
        <w:t>on the basis of</w:t>
      </w:r>
      <w:proofErr w:type="gramEnd"/>
      <w:r w:rsidRPr="00EC37C1">
        <w:rPr>
          <w:sz w:val="22"/>
          <w:szCs w:val="22"/>
          <w:lang w:val="en-GB"/>
        </w:rPr>
        <w:t xml:space="preserve"> the long-term viability of business models, growth/value-creation opportunities, as well as scale and depth of impact.</w:t>
      </w:r>
    </w:p>
    <w:p w14:paraId="50E1446B" w14:textId="77777777" w:rsidR="00E15BBA" w:rsidRPr="001A77D8" w:rsidRDefault="00E15BBA" w:rsidP="00E15BBA">
      <w:pPr>
        <w:pStyle w:val="ListParagraph"/>
        <w:spacing w:after="200" w:line="276" w:lineRule="auto"/>
        <w:ind w:left="0"/>
        <w:jc w:val="both"/>
        <w:rPr>
          <w:sz w:val="22"/>
          <w:szCs w:val="22"/>
          <w:lang w:val="en-GB"/>
        </w:rPr>
      </w:pPr>
    </w:p>
    <w:p w14:paraId="6D0A8BEB" w14:textId="77777777" w:rsidR="00E15BBA" w:rsidRDefault="00E15BBA" w:rsidP="00E15BBA">
      <w:pPr>
        <w:pStyle w:val="ListParagraph"/>
        <w:spacing w:after="200" w:line="276" w:lineRule="auto"/>
        <w:ind w:left="0"/>
        <w:jc w:val="both"/>
        <w:rPr>
          <w:sz w:val="22"/>
          <w:szCs w:val="22"/>
          <w:lang w:val="en-GB"/>
        </w:rPr>
      </w:pPr>
      <w:r>
        <w:rPr>
          <w:sz w:val="22"/>
          <w:szCs w:val="22"/>
          <w:lang w:val="en-GB"/>
        </w:rPr>
        <w:t xml:space="preserve">The Fund </w:t>
      </w:r>
      <w:proofErr w:type="gramStart"/>
      <w:r>
        <w:rPr>
          <w:sz w:val="22"/>
          <w:szCs w:val="22"/>
          <w:lang w:val="en-GB"/>
        </w:rPr>
        <w:t>invests :</w:t>
      </w:r>
      <w:proofErr w:type="gramEnd"/>
      <w:r>
        <w:rPr>
          <w:sz w:val="22"/>
          <w:szCs w:val="22"/>
          <w:lang w:val="en-GB"/>
        </w:rPr>
        <w:t xml:space="preserve"> (</w:t>
      </w:r>
      <w:proofErr w:type="spellStart"/>
      <w:r>
        <w:rPr>
          <w:sz w:val="22"/>
          <w:szCs w:val="22"/>
          <w:lang w:val="en-GB"/>
        </w:rPr>
        <w:t>i</w:t>
      </w:r>
      <w:proofErr w:type="spellEnd"/>
      <w:r>
        <w:rPr>
          <w:sz w:val="22"/>
          <w:szCs w:val="22"/>
          <w:lang w:val="en-GB"/>
        </w:rPr>
        <w:t>) 90% in environmentally sustainable i</w:t>
      </w:r>
      <w:r w:rsidRPr="00A621D8">
        <w:rPr>
          <w:sz w:val="22"/>
          <w:szCs w:val="22"/>
          <w:lang w:val="en-GB"/>
        </w:rPr>
        <w:t>nvestments</w:t>
      </w:r>
      <w:r w:rsidRPr="006F3874">
        <w:rPr>
          <w:sz w:val="22"/>
          <w:szCs w:val="22"/>
          <w:lang w:val="en-GB"/>
        </w:rPr>
        <w:t xml:space="preserve">; and (ii) </w:t>
      </w:r>
      <w:r>
        <w:rPr>
          <w:sz w:val="22"/>
          <w:szCs w:val="22"/>
          <w:lang w:val="en-GB"/>
        </w:rPr>
        <w:t>1</w:t>
      </w:r>
      <w:r w:rsidRPr="006F3874">
        <w:rPr>
          <w:sz w:val="22"/>
          <w:szCs w:val="22"/>
          <w:lang w:val="en-GB"/>
        </w:rPr>
        <w:t>0</w:t>
      </w:r>
      <w:r>
        <w:rPr>
          <w:sz w:val="22"/>
          <w:szCs w:val="22"/>
          <w:lang w:val="en-GB"/>
        </w:rPr>
        <w:t xml:space="preserve">% in other investment which will be composed of cash used for efficient </w:t>
      </w:r>
      <w:proofErr w:type="spellStart"/>
      <w:r>
        <w:rPr>
          <w:sz w:val="22"/>
          <w:szCs w:val="22"/>
          <w:lang w:val="en-GB"/>
        </w:rPr>
        <w:t>liduidity</w:t>
      </w:r>
      <w:proofErr w:type="spellEnd"/>
      <w:r>
        <w:rPr>
          <w:sz w:val="22"/>
          <w:szCs w:val="22"/>
          <w:lang w:val="en-GB"/>
        </w:rPr>
        <w:t xml:space="preserve"> and efficient portfolio management or cost management. It is noted that the cash will constantly fluctuate and will not affect the sustainable objective of the Fund. </w:t>
      </w:r>
    </w:p>
    <w:p w14:paraId="48A6A869" w14:textId="77777777" w:rsidR="00E15BBA" w:rsidRPr="00A621D8" w:rsidRDefault="00E15BBA" w:rsidP="00E15BBA">
      <w:pPr>
        <w:pStyle w:val="ListParagraph"/>
        <w:spacing w:after="200" w:line="276" w:lineRule="auto"/>
        <w:ind w:left="0"/>
        <w:jc w:val="both"/>
        <w:rPr>
          <w:sz w:val="22"/>
          <w:szCs w:val="22"/>
          <w:lang w:val="en-GB"/>
        </w:rPr>
      </w:pPr>
    </w:p>
    <w:p w14:paraId="3C97AFAB" w14:textId="77777777" w:rsidR="00E15BBA" w:rsidRDefault="00E15BBA" w:rsidP="00E15BBA">
      <w:pPr>
        <w:pStyle w:val="ListParagraph"/>
        <w:spacing w:after="200" w:line="276" w:lineRule="auto"/>
        <w:ind w:left="0"/>
        <w:jc w:val="both"/>
        <w:rPr>
          <w:sz w:val="22"/>
          <w:szCs w:val="22"/>
          <w:lang w:val="en-GB"/>
        </w:rPr>
      </w:pPr>
      <w:r w:rsidRPr="00A621D8">
        <w:rPr>
          <w:sz w:val="22"/>
          <w:szCs w:val="22"/>
          <w:lang w:val="en-GB"/>
        </w:rPr>
        <w:t>The Manager will do a qualitative assessment of sustainability indicators on a regular basis and will actively monitor sustainability indicators and ESG incidents and will review ESG progress on an annual basis.</w:t>
      </w:r>
    </w:p>
    <w:p w14:paraId="223AFFB3" w14:textId="77777777" w:rsidR="00E15BBA" w:rsidRDefault="00E15BBA" w:rsidP="00E15BBA">
      <w:pPr>
        <w:pStyle w:val="ListParagraph"/>
        <w:spacing w:after="200" w:line="276" w:lineRule="auto"/>
        <w:ind w:left="0"/>
        <w:jc w:val="both"/>
        <w:rPr>
          <w:sz w:val="22"/>
          <w:szCs w:val="22"/>
          <w:lang w:val="en-GB"/>
        </w:rPr>
      </w:pPr>
    </w:p>
    <w:p w14:paraId="4C7041EE" w14:textId="77777777" w:rsidR="00E15BBA" w:rsidRDefault="00E15BBA" w:rsidP="00E15BBA">
      <w:pPr>
        <w:pStyle w:val="ListParagraph"/>
        <w:spacing w:after="200" w:line="276" w:lineRule="auto"/>
        <w:ind w:left="0"/>
        <w:jc w:val="both"/>
        <w:rPr>
          <w:sz w:val="22"/>
          <w:szCs w:val="22"/>
          <w:lang w:val="en-GB"/>
        </w:rPr>
      </w:pPr>
      <w:r>
        <w:rPr>
          <w:sz w:val="22"/>
          <w:szCs w:val="22"/>
          <w:lang w:val="en-GB"/>
        </w:rPr>
        <w:t>The Manager’s</w:t>
      </w:r>
      <w:r w:rsidRPr="000429F9">
        <w:rPr>
          <w:sz w:val="22"/>
          <w:szCs w:val="22"/>
          <w:lang w:val="en-GB"/>
        </w:rPr>
        <w:t xml:space="preserve"> impact and ESG assessment and management methodology is based on the following tools:</w:t>
      </w:r>
      <w:r>
        <w:rPr>
          <w:sz w:val="22"/>
          <w:szCs w:val="22"/>
          <w:lang w:val="en-GB"/>
        </w:rPr>
        <w:t xml:space="preserve"> (1) </w:t>
      </w:r>
      <w:r w:rsidRPr="00A621D8">
        <w:rPr>
          <w:sz w:val="22"/>
          <w:szCs w:val="22"/>
          <w:lang w:val="en-GB"/>
        </w:rPr>
        <w:t>Impact Management Project</w:t>
      </w:r>
      <w:r>
        <w:rPr>
          <w:sz w:val="22"/>
          <w:szCs w:val="22"/>
          <w:lang w:val="en-GB"/>
        </w:rPr>
        <w:t xml:space="preserve">; (2) </w:t>
      </w:r>
      <w:r w:rsidRPr="00A621D8">
        <w:rPr>
          <w:sz w:val="22"/>
          <w:szCs w:val="22"/>
          <w:lang w:val="en-GB"/>
        </w:rPr>
        <w:t>Logic Model ("Theory of Change")</w:t>
      </w:r>
      <w:r>
        <w:rPr>
          <w:sz w:val="22"/>
          <w:szCs w:val="22"/>
          <w:lang w:val="en-GB"/>
        </w:rPr>
        <w:t xml:space="preserve">; (3) </w:t>
      </w:r>
      <w:r w:rsidRPr="00A621D8">
        <w:rPr>
          <w:sz w:val="22"/>
          <w:szCs w:val="22"/>
          <w:lang w:val="en-GB"/>
        </w:rPr>
        <w:t>United Nations Sustainable Development Goals</w:t>
      </w:r>
      <w:r>
        <w:rPr>
          <w:sz w:val="22"/>
          <w:szCs w:val="22"/>
          <w:lang w:val="en-GB"/>
        </w:rPr>
        <w:t xml:space="preserve">; (4) </w:t>
      </w:r>
      <w:r w:rsidRPr="00A621D8">
        <w:rPr>
          <w:sz w:val="22"/>
          <w:szCs w:val="22"/>
          <w:lang w:val="en-GB"/>
        </w:rPr>
        <w:t>IRIS metrics</w:t>
      </w:r>
      <w:r>
        <w:rPr>
          <w:sz w:val="22"/>
          <w:szCs w:val="22"/>
          <w:lang w:val="en-GB"/>
        </w:rPr>
        <w:t xml:space="preserve">; and </w:t>
      </w:r>
      <w:r w:rsidRPr="00A621D8">
        <w:rPr>
          <w:sz w:val="22"/>
          <w:szCs w:val="22"/>
          <w:lang w:val="en-GB"/>
        </w:rPr>
        <w:t>ESG Due Diligence Tools</w:t>
      </w:r>
      <w:r>
        <w:rPr>
          <w:sz w:val="22"/>
          <w:szCs w:val="22"/>
          <w:lang w:val="en-GB"/>
        </w:rPr>
        <w:t>.</w:t>
      </w:r>
    </w:p>
    <w:p w14:paraId="099E2161" w14:textId="77777777" w:rsidR="00E15BBA" w:rsidRDefault="00E15BBA" w:rsidP="00E15BBA">
      <w:pPr>
        <w:pStyle w:val="ListParagraph"/>
        <w:spacing w:after="200" w:line="276" w:lineRule="auto"/>
        <w:ind w:left="0"/>
        <w:jc w:val="both"/>
        <w:rPr>
          <w:sz w:val="22"/>
          <w:szCs w:val="22"/>
          <w:lang w:val="en-GB"/>
        </w:rPr>
      </w:pPr>
    </w:p>
    <w:p w14:paraId="12733885" w14:textId="77777777" w:rsidR="00E15BBA" w:rsidRDefault="00E15BBA" w:rsidP="00E15BBA">
      <w:pPr>
        <w:pStyle w:val="ListParagraph"/>
        <w:spacing w:after="200" w:line="276" w:lineRule="auto"/>
        <w:ind w:left="0"/>
        <w:jc w:val="both"/>
        <w:rPr>
          <w:sz w:val="22"/>
          <w:szCs w:val="22"/>
          <w:lang w:val="en-GB"/>
        </w:rPr>
      </w:pPr>
      <w:r>
        <w:rPr>
          <w:sz w:val="22"/>
          <w:szCs w:val="22"/>
          <w:lang w:val="en-GB"/>
        </w:rPr>
        <w:t>Investments</w:t>
      </w:r>
      <w:r w:rsidRPr="00D33E94">
        <w:rPr>
          <w:sz w:val="22"/>
          <w:szCs w:val="22"/>
          <w:lang w:val="en-GB"/>
        </w:rPr>
        <w:t xml:space="preserve"> will be selected only after multiple assessment points in the investment lifecycle, from deal sourcing and due diligence through exit, for their potential to generate environmental and social impact in line with the </w:t>
      </w:r>
      <w:r>
        <w:rPr>
          <w:sz w:val="22"/>
          <w:szCs w:val="22"/>
          <w:lang w:val="en-GB"/>
        </w:rPr>
        <w:t>F</w:t>
      </w:r>
      <w:r w:rsidRPr="00D33E94">
        <w:rPr>
          <w:sz w:val="22"/>
          <w:szCs w:val="22"/>
          <w:lang w:val="en-GB"/>
        </w:rPr>
        <w:t>und'</w:t>
      </w:r>
      <w:r>
        <w:rPr>
          <w:sz w:val="22"/>
          <w:szCs w:val="22"/>
          <w:lang w:val="en-GB"/>
        </w:rPr>
        <w:t>s</w:t>
      </w:r>
      <w:r w:rsidRPr="00D33E94">
        <w:rPr>
          <w:sz w:val="22"/>
          <w:szCs w:val="22"/>
          <w:lang w:val="en-GB"/>
        </w:rPr>
        <w:t xml:space="preserve"> mandates</w:t>
      </w:r>
      <w:r>
        <w:rPr>
          <w:sz w:val="22"/>
          <w:szCs w:val="22"/>
          <w:lang w:val="en-GB"/>
        </w:rPr>
        <w:t xml:space="preserve"> and the Fund’s sustainable investment objective</w:t>
      </w:r>
      <w:r w:rsidRPr="00D33E94">
        <w:rPr>
          <w:sz w:val="22"/>
          <w:szCs w:val="22"/>
          <w:lang w:val="en-GB"/>
        </w:rPr>
        <w:t>.</w:t>
      </w:r>
    </w:p>
    <w:p w14:paraId="694BF538" w14:textId="77777777" w:rsidR="00E15BBA" w:rsidRDefault="00E15BBA" w:rsidP="00E15BBA">
      <w:pPr>
        <w:pStyle w:val="ListParagraph"/>
        <w:spacing w:after="200" w:line="276" w:lineRule="auto"/>
        <w:ind w:left="0"/>
        <w:jc w:val="both"/>
        <w:rPr>
          <w:sz w:val="22"/>
          <w:szCs w:val="22"/>
          <w:lang w:val="en-GB"/>
        </w:rPr>
      </w:pPr>
    </w:p>
    <w:p w14:paraId="220B5A4F" w14:textId="77777777" w:rsidR="00E15BBA" w:rsidRPr="008049D2" w:rsidRDefault="00E15BBA" w:rsidP="00E15BBA">
      <w:pPr>
        <w:pStyle w:val="ListParagraph"/>
        <w:spacing w:after="200" w:line="276" w:lineRule="auto"/>
        <w:ind w:left="0"/>
        <w:jc w:val="both"/>
        <w:rPr>
          <w:sz w:val="22"/>
          <w:szCs w:val="22"/>
          <w:lang w:val="en-GB"/>
        </w:rPr>
      </w:pPr>
      <w:r w:rsidRPr="008049D2">
        <w:rPr>
          <w:sz w:val="22"/>
          <w:szCs w:val="22"/>
          <w:lang w:val="en-GB"/>
        </w:rPr>
        <w:t>The Fund pursues an active investment management strategy and does not invest by reference to any index and does not intend to do so.</w:t>
      </w:r>
    </w:p>
    <w:p w14:paraId="289450EF" w14:textId="77777777" w:rsidR="00E15BBA" w:rsidRDefault="00E15BBA" w:rsidP="00E15BBA">
      <w:pPr>
        <w:pStyle w:val="ListParagraph"/>
        <w:rPr>
          <w:sz w:val="22"/>
          <w:szCs w:val="22"/>
          <w:lang w:val="en-GB"/>
        </w:rPr>
      </w:pPr>
    </w:p>
    <w:p w14:paraId="03459C4F" w14:textId="654B3038" w:rsidR="006A1FA4" w:rsidRPr="006A1FA4" w:rsidRDefault="006A1FA4" w:rsidP="006A1FA4">
      <w:pPr>
        <w:pStyle w:val="ListParagraph"/>
        <w:spacing w:after="200" w:line="276" w:lineRule="auto"/>
        <w:ind w:left="0"/>
        <w:jc w:val="both"/>
        <w:rPr>
          <w:sz w:val="22"/>
          <w:szCs w:val="22"/>
          <w:lang w:val="en-GB"/>
        </w:rPr>
      </w:pPr>
      <w:r w:rsidRPr="006A1FA4">
        <w:rPr>
          <w:rFonts w:ascii="Arial" w:hAnsi="Arial" w:cs="Arial"/>
          <w:sz w:val="20"/>
          <w:szCs w:val="20"/>
          <w:lang w:val="en-GB"/>
        </w:rPr>
        <w:t>Please find a translation of this Summary Section in German</w:t>
      </w:r>
      <w:r>
        <w:rPr>
          <w:rFonts w:ascii="Arial" w:hAnsi="Arial" w:cs="Arial"/>
          <w:sz w:val="20"/>
          <w:szCs w:val="20"/>
          <w:lang w:val="en-GB"/>
        </w:rPr>
        <w:t xml:space="preserve"> (1)</w:t>
      </w:r>
      <w:r w:rsidRPr="006A1FA4">
        <w:rPr>
          <w:rFonts w:ascii="Arial" w:hAnsi="Arial" w:cs="Arial"/>
          <w:sz w:val="20"/>
          <w:szCs w:val="20"/>
          <w:lang w:val="en-GB"/>
        </w:rPr>
        <w:t>, French</w:t>
      </w:r>
      <w:r>
        <w:rPr>
          <w:rFonts w:ascii="Arial" w:hAnsi="Arial" w:cs="Arial"/>
          <w:sz w:val="20"/>
          <w:szCs w:val="20"/>
          <w:lang w:val="en-GB"/>
        </w:rPr>
        <w:t xml:space="preserve"> (2)</w:t>
      </w:r>
      <w:r w:rsidRPr="006A1FA4">
        <w:rPr>
          <w:rFonts w:ascii="Arial" w:hAnsi="Arial" w:cs="Arial"/>
          <w:sz w:val="20"/>
          <w:szCs w:val="20"/>
          <w:lang w:val="en-GB"/>
        </w:rPr>
        <w:t xml:space="preserve">, </w:t>
      </w:r>
      <w:proofErr w:type="gramStart"/>
      <w:r w:rsidRPr="006A1FA4">
        <w:rPr>
          <w:rFonts w:ascii="Arial" w:hAnsi="Arial" w:cs="Arial"/>
          <w:sz w:val="20"/>
          <w:szCs w:val="20"/>
          <w:lang w:val="en-GB"/>
        </w:rPr>
        <w:t>Danish</w:t>
      </w:r>
      <w:r>
        <w:rPr>
          <w:rFonts w:ascii="Arial" w:hAnsi="Arial" w:cs="Arial"/>
          <w:sz w:val="20"/>
          <w:szCs w:val="20"/>
          <w:lang w:val="en-GB"/>
        </w:rPr>
        <w:t>(</w:t>
      </w:r>
      <w:proofErr w:type="gramEnd"/>
      <w:r>
        <w:rPr>
          <w:rFonts w:ascii="Arial" w:hAnsi="Arial" w:cs="Arial"/>
          <w:sz w:val="20"/>
          <w:szCs w:val="20"/>
          <w:lang w:val="en-GB"/>
        </w:rPr>
        <w:t>3)</w:t>
      </w:r>
      <w:r w:rsidRPr="006A1FA4">
        <w:rPr>
          <w:rFonts w:ascii="Arial" w:hAnsi="Arial" w:cs="Arial"/>
          <w:sz w:val="20"/>
          <w:szCs w:val="20"/>
          <w:lang w:val="en-GB"/>
        </w:rPr>
        <w:t>, Finnish</w:t>
      </w:r>
      <w:r>
        <w:rPr>
          <w:rFonts w:ascii="Arial" w:hAnsi="Arial" w:cs="Arial"/>
          <w:sz w:val="20"/>
          <w:szCs w:val="20"/>
          <w:lang w:val="en-GB"/>
        </w:rPr>
        <w:t xml:space="preserve"> (4)</w:t>
      </w:r>
      <w:r w:rsidRPr="006A1FA4">
        <w:rPr>
          <w:rFonts w:ascii="Arial" w:hAnsi="Arial" w:cs="Arial"/>
          <w:sz w:val="20"/>
          <w:szCs w:val="20"/>
          <w:lang w:val="en-GB"/>
        </w:rPr>
        <w:t>, Italian</w:t>
      </w:r>
      <w:r>
        <w:rPr>
          <w:rFonts w:ascii="Arial" w:hAnsi="Arial" w:cs="Arial"/>
          <w:sz w:val="20"/>
          <w:szCs w:val="20"/>
          <w:lang w:val="en-GB"/>
        </w:rPr>
        <w:t xml:space="preserve"> (5)</w:t>
      </w:r>
      <w:r w:rsidRPr="006A1FA4">
        <w:rPr>
          <w:rFonts w:ascii="Arial" w:hAnsi="Arial" w:cs="Arial"/>
          <w:sz w:val="20"/>
          <w:szCs w:val="20"/>
          <w:lang w:val="en-GB"/>
        </w:rPr>
        <w:t>, Dutch</w:t>
      </w:r>
      <w:r>
        <w:rPr>
          <w:rFonts w:ascii="Arial" w:hAnsi="Arial" w:cs="Arial"/>
          <w:sz w:val="20"/>
          <w:szCs w:val="20"/>
          <w:lang w:val="en-GB"/>
        </w:rPr>
        <w:t xml:space="preserve"> (6) and</w:t>
      </w:r>
      <w:r w:rsidRPr="006A1FA4">
        <w:rPr>
          <w:rFonts w:ascii="Arial" w:hAnsi="Arial" w:cs="Arial"/>
          <w:sz w:val="20"/>
          <w:szCs w:val="20"/>
          <w:lang w:val="en-GB"/>
        </w:rPr>
        <w:t xml:space="preserve"> Swedish </w:t>
      </w:r>
      <w:r>
        <w:rPr>
          <w:rFonts w:ascii="Arial" w:hAnsi="Arial" w:cs="Arial"/>
          <w:sz w:val="20"/>
          <w:szCs w:val="20"/>
          <w:lang w:val="en-GB"/>
        </w:rPr>
        <w:t xml:space="preserve">(7) </w:t>
      </w:r>
      <w:r w:rsidRPr="006A1FA4">
        <w:rPr>
          <w:rFonts w:ascii="Arial" w:hAnsi="Arial" w:cs="Arial"/>
          <w:sz w:val="20"/>
          <w:szCs w:val="20"/>
          <w:lang w:val="en-GB"/>
        </w:rPr>
        <w:t>annexed to this document as Annex 1-7</w:t>
      </w:r>
    </w:p>
    <w:p w14:paraId="3B6898EC" w14:textId="7CE7337D" w:rsidR="00E15BBA" w:rsidRDefault="00E15BBA" w:rsidP="00E15BBA">
      <w:pPr>
        <w:pStyle w:val="ListParagraph"/>
        <w:rPr>
          <w:sz w:val="22"/>
          <w:szCs w:val="22"/>
          <w:lang w:val="en-GB"/>
        </w:rPr>
      </w:pPr>
    </w:p>
    <w:p w14:paraId="36BF58A5" w14:textId="77777777" w:rsidR="00E15BBA" w:rsidRDefault="00E15BBA" w:rsidP="00E15BBA">
      <w:pPr>
        <w:pStyle w:val="ListParagraph"/>
        <w:rPr>
          <w:sz w:val="22"/>
          <w:szCs w:val="22"/>
          <w:highlight w:val="yellow"/>
          <w:lang w:val="en-GB"/>
        </w:rPr>
      </w:pPr>
      <w:r>
        <w:rPr>
          <w:sz w:val="22"/>
          <w:szCs w:val="22"/>
          <w:highlight w:val="yellow"/>
          <w:lang w:val="en-GB"/>
        </w:rPr>
        <w:br w:type="page"/>
      </w:r>
    </w:p>
    <w:p w14:paraId="65B893A5" w14:textId="76F15875" w:rsidR="00E15BBA" w:rsidRDefault="006A1FA4" w:rsidP="00E15BBA">
      <w:pPr>
        <w:pStyle w:val="Body"/>
        <w:spacing w:after="60"/>
        <w:jc w:val="left"/>
        <w:rPr>
          <w:b/>
          <w:i/>
          <w:iCs/>
          <w:color w:val="A6A6A6" w:themeColor="background1" w:themeShade="A6"/>
          <w:kern w:val="0"/>
          <w:sz w:val="26"/>
          <w:lang w:val="en-US" w:bidi="de-DE"/>
        </w:rPr>
      </w:pPr>
      <w:r>
        <w:rPr>
          <w:b/>
          <w:i/>
          <w:iCs/>
          <w:color w:val="A6A6A6" w:themeColor="background1" w:themeShade="A6"/>
          <w:kern w:val="0"/>
          <w:sz w:val="26"/>
          <w:lang w:val="en-US" w:bidi="de-DE"/>
        </w:rPr>
        <w:lastRenderedPageBreak/>
        <w:t xml:space="preserve">Annex 1: </w:t>
      </w:r>
      <w:r w:rsidR="00E15BBA" w:rsidRPr="00A8627F">
        <w:rPr>
          <w:b/>
          <w:i/>
          <w:iCs/>
          <w:color w:val="A6A6A6" w:themeColor="background1" w:themeShade="A6"/>
          <w:kern w:val="0"/>
          <w:sz w:val="26"/>
          <w:lang w:val="en-US" w:bidi="de-DE"/>
        </w:rPr>
        <w:t>German translation</w:t>
      </w:r>
      <w:r w:rsidR="00E15BBA">
        <w:rPr>
          <w:b/>
          <w:i/>
          <w:iCs/>
          <w:color w:val="A6A6A6" w:themeColor="background1" w:themeShade="A6"/>
          <w:kern w:val="0"/>
          <w:sz w:val="26"/>
          <w:lang w:val="en-US" w:bidi="de-DE"/>
        </w:rPr>
        <w:t>, the English version prevails</w:t>
      </w:r>
    </w:p>
    <w:p w14:paraId="75051BBF" w14:textId="77777777" w:rsidR="00E15BBA" w:rsidRPr="00A8627F" w:rsidRDefault="00E15BBA" w:rsidP="00E15BBA">
      <w:pPr>
        <w:pStyle w:val="Body"/>
        <w:spacing w:after="60"/>
        <w:jc w:val="left"/>
        <w:rPr>
          <w:b/>
          <w:i/>
          <w:iCs/>
          <w:color w:val="A6A6A6" w:themeColor="background1" w:themeShade="A6"/>
          <w:kern w:val="0"/>
          <w:sz w:val="26"/>
          <w:lang w:val="en-US" w:bidi="de-DE"/>
        </w:rPr>
      </w:pPr>
    </w:p>
    <w:p w14:paraId="6006636C" w14:textId="77777777" w:rsidR="00E15BBA" w:rsidRDefault="00E15BBA" w:rsidP="00E15BBA">
      <w:pPr>
        <w:pStyle w:val="Body"/>
        <w:spacing w:after="60"/>
        <w:jc w:val="center"/>
        <w:rPr>
          <w:rFonts w:ascii="Lato" w:eastAsiaTheme="minorEastAsia" w:hAnsi="Lato"/>
          <w:b/>
          <w:bCs/>
          <w:color w:val="002060"/>
          <w:kern w:val="0"/>
          <w:sz w:val="26"/>
          <w:szCs w:val="26"/>
          <w:lang w:eastAsia="zh-CN"/>
        </w:rPr>
      </w:pPr>
      <w:r w:rsidRPr="00970BA2">
        <w:rPr>
          <w:b/>
          <w:color w:val="002060"/>
          <w:kern w:val="0"/>
          <w:sz w:val="26"/>
          <w:lang w:val="en-US" w:bidi="de-DE"/>
        </w:rPr>
        <w:t xml:space="preserve">BlueEarth Climate Growth Fund I, S.C.A., SICAV-RAIF </w:t>
      </w:r>
    </w:p>
    <w:p w14:paraId="70211BF2" w14:textId="77777777" w:rsidR="00E15BBA" w:rsidRPr="008049D2" w:rsidRDefault="00E15BBA" w:rsidP="00F90D49">
      <w:pPr>
        <w:pStyle w:val="Heading1"/>
        <w:numPr>
          <w:ilvl w:val="0"/>
          <w:numId w:val="44"/>
        </w:numPr>
        <w:ind w:left="709" w:hanging="709"/>
        <w:rPr>
          <w:sz w:val="22"/>
          <w:szCs w:val="22"/>
          <w:lang w:val="en-GB"/>
        </w:rPr>
      </w:pPr>
      <w:bookmarkStart w:id="10" w:name="_Hlk123246506"/>
      <w:r w:rsidRPr="008049D2">
        <w:rPr>
          <w:sz w:val="22"/>
          <w:lang w:val="de-DE" w:bidi="de-DE"/>
        </w:rPr>
        <w:t xml:space="preserve">Zusammenfassung </w:t>
      </w:r>
    </w:p>
    <w:bookmarkEnd w:id="10"/>
    <w:p w14:paraId="4139FA77" w14:textId="77777777" w:rsidR="00E15BBA" w:rsidRPr="00970BA2" w:rsidRDefault="00E15BBA" w:rsidP="00E15BBA">
      <w:pPr>
        <w:pStyle w:val="ListParagraph"/>
        <w:spacing w:after="200" w:line="276" w:lineRule="auto"/>
        <w:ind w:left="0"/>
        <w:jc w:val="both"/>
        <w:rPr>
          <w:sz w:val="22"/>
          <w:szCs w:val="22"/>
          <w:lang w:val="de-CH"/>
        </w:rPr>
      </w:pPr>
      <w:r w:rsidRPr="008049D2">
        <w:rPr>
          <w:sz w:val="22"/>
          <w:lang w:val="de-DE" w:bidi="de-DE"/>
        </w:rPr>
        <w:t>Die Verordnung (EU) 2019/2088 des Europäischen Parlaments und des Rates vom 27. November 2019 über nachhaltigkeitsbezogene Offenlegungen im Finanzdienstleistungssektor (die „</w:t>
      </w:r>
      <w:r w:rsidRPr="008049D2">
        <w:rPr>
          <w:b/>
          <w:sz w:val="22"/>
          <w:lang w:val="de-DE" w:bidi="de-DE"/>
        </w:rPr>
        <w:t>SFDR</w:t>
      </w:r>
      <w:r w:rsidRPr="008049D2">
        <w:rPr>
          <w:sz w:val="22"/>
          <w:lang w:val="de-DE" w:bidi="de-DE"/>
        </w:rPr>
        <w:t>“) und die Verordnung (EU) 2020/852 über die Einrichtung eines Rahmenprogramms zur Erleichterung nachhaltiger Investitionen und zur Änderung der EU-Verordnung 2019/2088 (die „</w:t>
      </w:r>
      <w:proofErr w:type="spellStart"/>
      <w:r w:rsidRPr="008049D2">
        <w:rPr>
          <w:b/>
          <w:sz w:val="22"/>
          <w:lang w:val="de-DE" w:bidi="de-DE"/>
        </w:rPr>
        <w:t>Taxonomieverordnung</w:t>
      </w:r>
      <w:proofErr w:type="spellEnd"/>
      <w:r w:rsidRPr="008049D2">
        <w:rPr>
          <w:sz w:val="22"/>
          <w:lang w:val="de-DE" w:bidi="de-DE"/>
        </w:rPr>
        <w:t>“) (zusammen die „</w:t>
      </w:r>
      <w:r w:rsidRPr="008049D2">
        <w:rPr>
          <w:b/>
          <w:sz w:val="22"/>
          <w:lang w:val="de-DE" w:bidi="de-DE"/>
        </w:rPr>
        <w:t>Offenlegungsverordnungen</w:t>
      </w:r>
      <w:r w:rsidRPr="008049D2">
        <w:rPr>
          <w:sz w:val="22"/>
          <w:lang w:val="de-DE" w:bidi="de-DE"/>
        </w:rPr>
        <w:t xml:space="preserve">“) zielen darauf ab, Anlegern mehr Transparenz über die Integration von Nachhaltigkeitsrisiken, die Berücksichtigung negativer Nachhaltigkeitsauswirkungen in den Anlageprozessen, die Förderung von Umwelt-, Sozial- und/oder </w:t>
      </w:r>
      <w:proofErr w:type="spellStart"/>
      <w:r w:rsidRPr="008049D2">
        <w:rPr>
          <w:sz w:val="22"/>
          <w:lang w:val="de-DE" w:bidi="de-DE"/>
        </w:rPr>
        <w:t>Governance</w:t>
      </w:r>
      <w:proofErr w:type="spellEnd"/>
      <w:r w:rsidRPr="008049D2">
        <w:rPr>
          <w:sz w:val="22"/>
          <w:lang w:val="de-DE" w:bidi="de-DE"/>
        </w:rPr>
        <w:t>-Faktoren („</w:t>
      </w:r>
      <w:r w:rsidRPr="008049D2">
        <w:rPr>
          <w:b/>
          <w:sz w:val="22"/>
          <w:lang w:val="de-DE" w:bidi="de-DE"/>
        </w:rPr>
        <w:t>ESG</w:t>
      </w:r>
      <w:r w:rsidRPr="008049D2">
        <w:rPr>
          <w:sz w:val="22"/>
          <w:lang w:val="de-DE" w:bidi="de-DE"/>
        </w:rPr>
        <w:t xml:space="preserve">“) und auf ein nachhaltiges Anlageziel zu bieten. Insbesondere sind Fondsmanager und Berater verpflichtet, den Anlegern auf ihren Websites spezifische ESG-bezogene Informationen offenzulegen. </w:t>
      </w:r>
    </w:p>
    <w:p w14:paraId="684A8244" w14:textId="77777777" w:rsidR="00E15BBA" w:rsidRPr="00970BA2" w:rsidRDefault="00E15BBA" w:rsidP="00E15BBA">
      <w:pPr>
        <w:pStyle w:val="ListParagraph"/>
        <w:spacing w:after="200" w:line="276" w:lineRule="auto"/>
        <w:ind w:left="0"/>
        <w:jc w:val="both"/>
        <w:rPr>
          <w:sz w:val="22"/>
          <w:szCs w:val="22"/>
          <w:lang w:val="de-CH"/>
        </w:rPr>
      </w:pPr>
    </w:p>
    <w:p w14:paraId="0D745F25" w14:textId="77777777" w:rsidR="00E15BBA" w:rsidRPr="00970BA2" w:rsidRDefault="00E15BBA" w:rsidP="00E15BBA">
      <w:pPr>
        <w:pStyle w:val="ListParagraph"/>
        <w:spacing w:after="200" w:line="276" w:lineRule="auto"/>
        <w:ind w:left="0"/>
        <w:jc w:val="both"/>
        <w:rPr>
          <w:sz w:val="22"/>
          <w:szCs w:val="22"/>
          <w:lang w:val="de-CH"/>
        </w:rPr>
      </w:pPr>
      <w:r w:rsidRPr="00E576C1">
        <w:rPr>
          <w:sz w:val="22"/>
          <w:lang w:val="de-DE" w:bidi="de-DE"/>
        </w:rPr>
        <w:t>Die Offenlegungsverordnungen werden ab dem 1. Januar 2023 durch die EU-Durchführungsmaßnahmen (sogenannte regulatorische und technische Standards oder „</w:t>
      </w:r>
      <w:r w:rsidRPr="00E576C1">
        <w:rPr>
          <w:b/>
          <w:sz w:val="22"/>
          <w:lang w:val="de-DE" w:bidi="de-DE"/>
        </w:rPr>
        <w:t>RTS</w:t>
      </w:r>
      <w:r w:rsidRPr="00E576C1">
        <w:rPr>
          <w:sz w:val="22"/>
          <w:lang w:val="de-DE" w:bidi="de-DE"/>
        </w:rPr>
        <w:t xml:space="preserve">“) ergänzt. Alle hierin enthaltenen nachhaltigkeitsbezogenen Angaben basieren daher auf den endgültigen RTS, die von den Europäischen Aufsichtsbehörden am 6. April 2022 veröffentlicht wurden. </w:t>
      </w:r>
    </w:p>
    <w:p w14:paraId="4472CC42" w14:textId="77777777" w:rsidR="00E15BBA" w:rsidRPr="00970BA2" w:rsidRDefault="00E15BBA" w:rsidP="00E15BBA">
      <w:pPr>
        <w:pStyle w:val="ListParagraph"/>
        <w:spacing w:after="200" w:line="276" w:lineRule="auto"/>
        <w:ind w:left="0"/>
        <w:jc w:val="both"/>
        <w:rPr>
          <w:sz w:val="22"/>
          <w:szCs w:val="22"/>
          <w:lang w:val="de-CH"/>
        </w:rPr>
      </w:pPr>
    </w:p>
    <w:p w14:paraId="0312D433" w14:textId="77777777" w:rsidR="00E15BBA" w:rsidRPr="00970BA2" w:rsidRDefault="00E15BBA" w:rsidP="00E15BBA">
      <w:pPr>
        <w:pStyle w:val="ListParagraph"/>
        <w:spacing w:after="200" w:line="276" w:lineRule="auto"/>
        <w:ind w:left="0"/>
        <w:jc w:val="both"/>
        <w:rPr>
          <w:sz w:val="22"/>
          <w:szCs w:val="22"/>
          <w:lang w:val="de-CH"/>
        </w:rPr>
      </w:pPr>
      <w:r w:rsidRPr="00AD2C96">
        <w:rPr>
          <w:sz w:val="22"/>
          <w:lang w:val="de-DE" w:bidi="de-DE"/>
        </w:rPr>
        <w:t>BLUEEARTH CLIMATE GROWTH FUND I, S.C.A., SICAV-RAIF (der „</w:t>
      </w:r>
      <w:r w:rsidRPr="00AD2C96">
        <w:rPr>
          <w:b/>
          <w:sz w:val="22"/>
          <w:lang w:val="de-DE" w:bidi="de-DE"/>
        </w:rPr>
        <w:t>Fonds</w:t>
      </w:r>
      <w:r w:rsidRPr="00AD2C96">
        <w:rPr>
          <w:sz w:val="22"/>
          <w:lang w:val="de-DE" w:bidi="de-DE"/>
        </w:rPr>
        <w:t>“) wird gegründet, um in Private Equity zu investieren. Der Fonds wird von seinem alternativer Investmentfonds-Manager, der Alter Domus Management Company S.A. (der „</w:t>
      </w:r>
      <w:r w:rsidRPr="00AD2C96">
        <w:rPr>
          <w:b/>
          <w:sz w:val="22"/>
          <w:lang w:val="de-DE" w:bidi="de-DE"/>
        </w:rPr>
        <w:t>Manager</w:t>
      </w:r>
      <w:r w:rsidRPr="00AD2C96">
        <w:rPr>
          <w:sz w:val="22"/>
          <w:lang w:val="de-DE" w:bidi="de-DE"/>
        </w:rPr>
        <w:t>“) verwaltet. Die Blue Earth Capital AG handelt in der Eigenschaft als Berater des Managers (der „</w:t>
      </w:r>
      <w:r w:rsidRPr="00AD2C96">
        <w:rPr>
          <w:b/>
          <w:sz w:val="22"/>
          <w:lang w:val="de-DE" w:bidi="de-DE"/>
        </w:rPr>
        <w:t>Berater</w:t>
      </w:r>
      <w:r w:rsidRPr="00AD2C96">
        <w:rPr>
          <w:sz w:val="22"/>
          <w:lang w:val="de-DE" w:bidi="de-DE"/>
        </w:rPr>
        <w:t>“). Die nachstehenden Informationen des Managers basieren auf Beratungen, Informationen und Empfehlungen des Beraters. Um das nachhaltige Anlageziel des Fonds zu erreichen, verpflichtet sich der Manager, auf verantwortungsvolle Weise zu investieren, indem er ESG-Erwägungen aktiv in seine Anlageauswahl und seinen laufenden Überwachungsprozess integriert.</w:t>
      </w:r>
    </w:p>
    <w:p w14:paraId="0463624D" w14:textId="77777777" w:rsidR="00E15BBA" w:rsidRPr="00970BA2" w:rsidRDefault="00E15BBA" w:rsidP="00E15BBA">
      <w:pPr>
        <w:pStyle w:val="ListParagraph"/>
        <w:spacing w:after="200" w:line="276" w:lineRule="auto"/>
        <w:ind w:left="0"/>
        <w:jc w:val="both"/>
        <w:rPr>
          <w:sz w:val="22"/>
          <w:szCs w:val="22"/>
          <w:lang w:val="de-CH"/>
        </w:rPr>
      </w:pPr>
    </w:p>
    <w:p w14:paraId="73BED92C" w14:textId="77777777" w:rsidR="00E15BBA" w:rsidRPr="00970BA2" w:rsidRDefault="00E15BBA" w:rsidP="00E15BBA">
      <w:pPr>
        <w:pStyle w:val="ListParagraph"/>
        <w:spacing w:after="200" w:line="276" w:lineRule="auto"/>
        <w:ind w:left="0"/>
        <w:jc w:val="both"/>
        <w:rPr>
          <w:sz w:val="22"/>
          <w:szCs w:val="22"/>
          <w:lang w:val="de-CH"/>
        </w:rPr>
      </w:pPr>
      <w:r w:rsidRPr="006A147A">
        <w:rPr>
          <w:sz w:val="22"/>
          <w:lang w:val="de-DE" w:bidi="de-DE"/>
        </w:rPr>
        <w:t>Das nachhaltige Anlageziel des Fonds besteht darin, zu Aktivitäten beizutragen, die darauf abzielen, den Netto-Null-Übergang zu beschleunigen, die Widerstandsfähigkeit der Gesellschaft gegenüber dem Klimawandel zu verbessern und die Ressourceneffizienz zu fördern. Der Fonds berücksichtigt die hauptsächlichen nachteiligen Auswirkungen auf die Nachhaltigkeit (die „</w:t>
      </w:r>
      <w:r w:rsidRPr="006A147A">
        <w:rPr>
          <w:b/>
          <w:sz w:val="22"/>
          <w:lang w:val="de-DE" w:bidi="de-DE"/>
        </w:rPr>
        <w:t>PASIs</w:t>
      </w:r>
      <w:r w:rsidRPr="006A147A">
        <w:rPr>
          <w:sz w:val="22"/>
          <w:lang w:val="de-DE" w:bidi="de-DE"/>
        </w:rPr>
        <w:t xml:space="preserve">“), wie in SFDR definiert und in Anhang I der RTS dokumentiert. Der Manager nimmt im Rahmen der für jede Anlage durchgeführten ESG-Due-Diligence-Prüfung eine erste Bewertung der PASIs-Indikatoren </w:t>
      </w:r>
      <w:proofErr w:type="spellStart"/>
      <w:proofErr w:type="gramStart"/>
      <w:r w:rsidRPr="006A147A">
        <w:rPr>
          <w:sz w:val="22"/>
          <w:lang w:val="de-DE" w:bidi="de-DE"/>
        </w:rPr>
        <w:t>vor.Außerdem</w:t>
      </w:r>
      <w:proofErr w:type="spellEnd"/>
      <w:proofErr w:type="gramEnd"/>
      <w:r w:rsidRPr="006A147A">
        <w:rPr>
          <w:sz w:val="22"/>
          <w:lang w:val="de-DE" w:bidi="de-DE"/>
        </w:rPr>
        <w:t xml:space="preserve"> führt der Fonds eine umfassende Auswirkungsabschätzung durch, einschließlich einer Analyse von Risikofaktoren auf der Grundlage der IMP-</w:t>
      </w:r>
      <w:r>
        <w:rPr>
          <w:rStyle w:val="FootnoteReference"/>
          <w:sz w:val="22"/>
          <w:lang w:val="de-DE" w:bidi="de-DE"/>
        </w:rPr>
        <w:footnoteReference w:id="5"/>
      </w:r>
      <w:r w:rsidRPr="006A147A">
        <w:rPr>
          <w:sz w:val="22"/>
          <w:lang w:val="de-DE" w:bidi="de-DE"/>
        </w:rPr>
        <w:t xml:space="preserve">Methodik. </w:t>
      </w:r>
    </w:p>
    <w:p w14:paraId="7B9E5C77" w14:textId="77777777" w:rsidR="00E15BBA" w:rsidRPr="00970BA2" w:rsidRDefault="00E15BBA" w:rsidP="00E15BBA">
      <w:pPr>
        <w:pStyle w:val="ListParagraph"/>
        <w:spacing w:after="200" w:line="276" w:lineRule="auto"/>
        <w:ind w:left="0"/>
        <w:jc w:val="both"/>
        <w:rPr>
          <w:sz w:val="22"/>
          <w:szCs w:val="22"/>
          <w:lang w:val="de-CH"/>
        </w:rPr>
      </w:pPr>
    </w:p>
    <w:p w14:paraId="054E3D17" w14:textId="77777777" w:rsidR="00E15BBA" w:rsidRPr="00970BA2" w:rsidRDefault="00E15BBA" w:rsidP="00E15BBA">
      <w:pPr>
        <w:pStyle w:val="ListParagraph"/>
        <w:spacing w:after="200" w:line="276" w:lineRule="auto"/>
        <w:ind w:left="0"/>
        <w:jc w:val="both"/>
        <w:rPr>
          <w:sz w:val="22"/>
          <w:szCs w:val="22"/>
          <w:lang w:val="de-CH"/>
        </w:rPr>
      </w:pPr>
      <w:r w:rsidRPr="006F3874">
        <w:rPr>
          <w:sz w:val="22"/>
          <w:lang w:val="de-DE" w:bidi="de-DE"/>
        </w:rPr>
        <w:t xml:space="preserve">Der Fonds verfolgt eine Privatmarktstrategie, die darauf abzielt, sowohl eine positive finanzielle Rendite als auch positive Auswirkungen auf das Klima zu erzielen. Das Ziel des Fonds ist die Anlage </w:t>
      </w:r>
      <w:r w:rsidRPr="006F3874">
        <w:rPr>
          <w:sz w:val="22"/>
          <w:lang w:val="de-DE" w:bidi="de-DE"/>
        </w:rPr>
        <w:lastRenderedPageBreak/>
        <w:t>in Umweltanlagen, die gemäß SFDR als nachhaltige Anlage qualifiziert sind. Um diese Ziele zu erreichen, integriert der Fonds Auswirkungsüberlegungen während des gesamten Anlagelebenszyklus, einschließlich einer erstklassigen Auswirkungsbewertungs- und Berichterstattungsmethodik.</w:t>
      </w:r>
    </w:p>
    <w:p w14:paraId="258A5893" w14:textId="77777777" w:rsidR="00E15BBA" w:rsidRPr="00970BA2" w:rsidRDefault="00E15BBA" w:rsidP="00E15BBA">
      <w:pPr>
        <w:pStyle w:val="ListParagraph"/>
        <w:spacing w:after="200" w:line="276" w:lineRule="auto"/>
        <w:ind w:left="0"/>
        <w:jc w:val="both"/>
        <w:rPr>
          <w:sz w:val="22"/>
          <w:szCs w:val="22"/>
          <w:lang w:val="de-CH"/>
        </w:rPr>
      </w:pPr>
    </w:p>
    <w:p w14:paraId="4774C23D" w14:textId="77777777" w:rsidR="00E15BBA" w:rsidRPr="00970BA2" w:rsidRDefault="00E15BBA" w:rsidP="00E15BBA">
      <w:pPr>
        <w:pStyle w:val="ListParagraph"/>
        <w:spacing w:after="200" w:line="276" w:lineRule="auto"/>
        <w:ind w:left="0"/>
        <w:jc w:val="both"/>
        <w:rPr>
          <w:sz w:val="22"/>
          <w:szCs w:val="22"/>
          <w:lang w:val="de-CH"/>
        </w:rPr>
      </w:pPr>
      <w:r w:rsidRPr="006F3874">
        <w:rPr>
          <w:sz w:val="22"/>
          <w:lang w:val="de-DE" w:bidi="de-DE"/>
        </w:rPr>
        <w:t>Der Manager investiert in das Wachstum attraktiver Unternehmen mit einem bewährten Geschäftsmodell, hohem Entwicklungspotenzial und einer messbaren und skalierbaren Auswirkung auf das Klima. Der Fonds wird in die folgenden Schlüsselthemen investieren, um eine bedeutende Auswirkung auf das Klima zu erzielen: Ökosystem der Energiewende; Gebäude und Mobilität; Klimaintelligenz; Produktion und Verbrauch; und Lebensmittel und Landwirtschaft. Auf Basis der langfristigen Tragfähigkeit von Geschäftsmodellen, Wachstums-/Wertschöpfungsmöglichkeiten sowie Umfang und Auswirkungstiefe werden für jeden prioritären Sektor Anlagestrategien definiert.</w:t>
      </w:r>
    </w:p>
    <w:p w14:paraId="654C78E5" w14:textId="77777777" w:rsidR="00E15BBA" w:rsidRPr="00970BA2" w:rsidRDefault="00E15BBA" w:rsidP="00E15BBA">
      <w:pPr>
        <w:pStyle w:val="ListParagraph"/>
        <w:spacing w:after="200" w:line="276" w:lineRule="auto"/>
        <w:ind w:left="0"/>
        <w:jc w:val="both"/>
        <w:rPr>
          <w:sz w:val="22"/>
          <w:szCs w:val="22"/>
          <w:lang w:val="de-CH"/>
        </w:rPr>
      </w:pPr>
    </w:p>
    <w:p w14:paraId="41C6E81F" w14:textId="77777777" w:rsidR="00E15BBA" w:rsidRPr="00970BA2" w:rsidRDefault="00E15BBA" w:rsidP="00E15BBA">
      <w:pPr>
        <w:pStyle w:val="ListParagraph"/>
        <w:spacing w:after="200" w:line="276" w:lineRule="auto"/>
        <w:ind w:left="0"/>
        <w:jc w:val="both"/>
        <w:rPr>
          <w:sz w:val="22"/>
          <w:szCs w:val="22"/>
          <w:lang w:val="de-CH"/>
        </w:rPr>
      </w:pPr>
      <w:r>
        <w:rPr>
          <w:sz w:val="22"/>
          <w:lang w:val="de-DE" w:bidi="de-DE"/>
        </w:rPr>
        <w:t xml:space="preserve">Der Fonds investiert: (i) 90 % in ökologisch nachhaltige Anlagen; und (ii) 10 % in andere Anlagen, die sich aus Barmitteln zusammensetzen, die für eine effiziente Liquidität und ein effizientes Portfoliomanagement oder Kostenmanagement verwendet werden. Es wird darauf hingewiesen, dass die Barmittel ständig schwanken und das nachhaltige Ziel des Fonds nicht beeinträchtigen werden. </w:t>
      </w:r>
    </w:p>
    <w:p w14:paraId="06C3BB91" w14:textId="77777777" w:rsidR="00E15BBA" w:rsidRPr="00970BA2" w:rsidRDefault="00E15BBA" w:rsidP="00E15BBA">
      <w:pPr>
        <w:pStyle w:val="ListParagraph"/>
        <w:spacing w:after="200" w:line="276" w:lineRule="auto"/>
        <w:ind w:left="0"/>
        <w:jc w:val="both"/>
        <w:rPr>
          <w:sz w:val="22"/>
          <w:szCs w:val="22"/>
          <w:lang w:val="de-CH"/>
        </w:rPr>
      </w:pPr>
    </w:p>
    <w:p w14:paraId="1DFF5609" w14:textId="77777777" w:rsidR="00E15BBA" w:rsidRPr="00970BA2" w:rsidRDefault="00E15BBA" w:rsidP="00E15BBA">
      <w:pPr>
        <w:pStyle w:val="ListParagraph"/>
        <w:spacing w:after="200" w:line="276" w:lineRule="auto"/>
        <w:ind w:left="0"/>
        <w:jc w:val="both"/>
        <w:rPr>
          <w:sz w:val="22"/>
          <w:szCs w:val="22"/>
          <w:lang w:val="de-CH"/>
        </w:rPr>
      </w:pPr>
      <w:r w:rsidRPr="00A621D8">
        <w:rPr>
          <w:sz w:val="22"/>
          <w:lang w:val="de-DE" w:bidi="de-DE"/>
        </w:rPr>
        <w:t>Der Manager führt regelmäßig eine qualitative Bewertung der Nachhaltigkeitsindikatoren durch, überwacht aktiv Nachhaltigkeitsindikatoren und ESG-Vorfälle und überprüft den ESG-Fortschritt auf jährlicher Basis.</w:t>
      </w:r>
    </w:p>
    <w:p w14:paraId="67945F20" w14:textId="77777777" w:rsidR="00E15BBA" w:rsidRPr="00970BA2" w:rsidRDefault="00E15BBA" w:rsidP="00E15BBA">
      <w:pPr>
        <w:pStyle w:val="ListParagraph"/>
        <w:spacing w:after="200" w:line="276" w:lineRule="auto"/>
        <w:ind w:left="0"/>
        <w:jc w:val="both"/>
        <w:rPr>
          <w:sz w:val="22"/>
          <w:szCs w:val="22"/>
          <w:lang w:val="de-CH"/>
        </w:rPr>
      </w:pPr>
    </w:p>
    <w:p w14:paraId="42122FE2" w14:textId="77777777" w:rsidR="00E15BBA" w:rsidRPr="00970BA2" w:rsidRDefault="00E15BBA" w:rsidP="00E15BBA">
      <w:pPr>
        <w:pStyle w:val="ListParagraph"/>
        <w:spacing w:after="200" w:line="276" w:lineRule="auto"/>
        <w:ind w:left="0"/>
        <w:jc w:val="both"/>
        <w:rPr>
          <w:sz w:val="22"/>
          <w:szCs w:val="22"/>
          <w:lang w:val="de-CH"/>
        </w:rPr>
      </w:pPr>
      <w:r>
        <w:rPr>
          <w:sz w:val="22"/>
          <w:lang w:val="de-DE" w:bidi="de-DE"/>
        </w:rPr>
        <w:t xml:space="preserve">Die Auswirkungs- und ESG-Bewertungs- und Managementmethodik des Managers basiert auf den folgenden Tools: (1) Auswirkungsmanagement-Projekt; (2) Logikmodell („Theory </w:t>
      </w:r>
      <w:proofErr w:type="spellStart"/>
      <w:r>
        <w:rPr>
          <w:sz w:val="22"/>
          <w:lang w:val="de-DE" w:bidi="de-DE"/>
        </w:rPr>
        <w:t>of</w:t>
      </w:r>
      <w:proofErr w:type="spellEnd"/>
      <w:r>
        <w:rPr>
          <w:sz w:val="22"/>
          <w:lang w:val="de-DE" w:bidi="de-DE"/>
        </w:rPr>
        <w:t xml:space="preserve"> Change"); (3) Ziele der Vereinten Nationen für nachhaltige Entwicklung; (4) IRIS-Metriken; und ESG-Due-Diligence-Tools.</w:t>
      </w:r>
    </w:p>
    <w:p w14:paraId="4EC3C219" w14:textId="77777777" w:rsidR="00E15BBA" w:rsidRPr="00970BA2" w:rsidRDefault="00E15BBA" w:rsidP="00E15BBA">
      <w:pPr>
        <w:pStyle w:val="ListParagraph"/>
        <w:spacing w:after="200" w:line="276" w:lineRule="auto"/>
        <w:ind w:left="0"/>
        <w:jc w:val="both"/>
        <w:rPr>
          <w:sz w:val="22"/>
          <w:szCs w:val="22"/>
          <w:lang w:val="de-CH"/>
        </w:rPr>
      </w:pPr>
    </w:p>
    <w:p w14:paraId="46FA207C" w14:textId="77777777" w:rsidR="00E15BBA" w:rsidRPr="00970BA2" w:rsidRDefault="00E15BBA" w:rsidP="00E15BBA">
      <w:pPr>
        <w:pStyle w:val="ListParagraph"/>
        <w:spacing w:after="200" w:line="276" w:lineRule="auto"/>
        <w:ind w:left="0"/>
        <w:jc w:val="both"/>
        <w:rPr>
          <w:sz w:val="22"/>
          <w:szCs w:val="22"/>
          <w:lang w:val="de-CH"/>
        </w:rPr>
      </w:pPr>
      <w:r>
        <w:rPr>
          <w:sz w:val="22"/>
          <w:lang w:val="de-DE" w:bidi="de-DE"/>
        </w:rPr>
        <w:t>Anlagen werden erst nach mehreren Bewertungspunkten im Anlagelebenszyklus ausgewählt, von der Geschäftsbeschaffung und der Due-Diligence bis zum Ausstieg, und zwar im Hinblick auf ihr Potenzial, ökologische und soziale Auswirkungen im Einklang mit den Mandaten des Fonds und dem nachhaltigen Anlageziel des Fonds zu erzielen.</w:t>
      </w:r>
    </w:p>
    <w:p w14:paraId="04BD0201" w14:textId="77777777" w:rsidR="00E15BBA" w:rsidRPr="00970BA2" w:rsidRDefault="00E15BBA" w:rsidP="00E15BBA">
      <w:pPr>
        <w:pStyle w:val="ListParagraph"/>
        <w:spacing w:after="200" w:line="276" w:lineRule="auto"/>
        <w:ind w:left="0"/>
        <w:jc w:val="both"/>
        <w:rPr>
          <w:sz w:val="22"/>
          <w:szCs w:val="22"/>
          <w:lang w:val="de-CH"/>
        </w:rPr>
      </w:pPr>
    </w:p>
    <w:p w14:paraId="62028261" w14:textId="77777777" w:rsidR="00E15BBA" w:rsidRPr="00970BA2" w:rsidRDefault="00E15BBA" w:rsidP="00E15BBA">
      <w:pPr>
        <w:pStyle w:val="ListParagraph"/>
        <w:spacing w:after="200" w:line="276" w:lineRule="auto"/>
        <w:ind w:left="0"/>
        <w:jc w:val="both"/>
        <w:rPr>
          <w:sz w:val="22"/>
          <w:szCs w:val="22"/>
          <w:lang w:val="de-CH"/>
        </w:rPr>
      </w:pPr>
      <w:r w:rsidRPr="008049D2">
        <w:rPr>
          <w:sz w:val="22"/>
          <w:lang w:val="de-DE" w:bidi="de-DE"/>
        </w:rPr>
        <w:t>Der Fonds verfolgt eine aktive Anlagenmanagement-Strategie und investiert nicht unter Bezugnahme auf einen Index und beabsichtigt dies auch nicht.</w:t>
      </w:r>
    </w:p>
    <w:p w14:paraId="1550AEEA" w14:textId="77777777" w:rsidR="00E15BBA" w:rsidRPr="00970BA2" w:rsidRDefault="00E15BBA" w:rsidP="00E15BBA">
      <w:pPr>
        <w:pStyle w:val="ListParagraph"/>
        <w:rPr>
          <w:sz w:val="22"/>
          <w:szCs w:val="22"/>
          <w:lang w:val="de-CH"/>
        </w:rPr>
      </w:pPr>
    </w:p>
    <w:p w14:paraId="5352FB28" w14:textId="77777777" w:rsidR="00E15BBA" w:rsidRPr="00970BA2" w:rsidRDefault="00E15BBA" w:rsidP="00E15BBA">
      <w:pPr>
        <w:pStyle w:val="ListParagraph"/>
        <w:rPr>
          <w:sz w:val="22"/>
          <w:szCs w:val="22"/>
          <w:lang w:val="de-CH"/>
        </w:rPr>
      </w:pPr>
    </w:p>
    <w:p w14:paraId="317A178E" w14:textId="77777777" w:rsidR="00E15BBA" w:rsidRPr="00970BA2" w:rsidRDefault="00E15BBA" w:rsidP="00E15BBA">
      <w:pPr>
        <w:pStyle w:val="ListParagraph"/>
        <w:rPr>
          <w:sz w:val="22"/>
          <w:szCs w:val="22"/>
          <w:lang w:val="de-CH"/>
        </w:rPr>
      </w:pPr>
      <w:r w:rsidRPr="00970BA2">
        <w:rPr>
          <w:sz w:val="22"/>
          <w:szCs w:val="22"/>
          <w:lang w:val="de-CH"/>
        </w:rPr>
        <w:br w:type="page"/>
      </w:r>
    </w:p>
    <w:p w14:paraId="33E67D40" w14:textId="4580C55C" w:rsidR="00E15BBA" w:rsidRDefault="006A1FA4" w:rsidP="00E15BBA">
      <w:pPr>
        <w:pStyle w:val="Body"/>
        <w:spacing w:after="60"/>
        <w:jc w:val="left"/>
        <w:rPr>
          <w:b/>
          <w:i/>
          <w:iCs/>
          <w:color w:val="A6A6A6" w:themeColor="background1" w:themeShade="A6"/>
          <w:kern w:val="0"/>
          <w:sz w:val="26"/>
          <w:lang w:val="en-US" w:bidi="de-DE"/>
        </w:rPr>
      </w:pPr>
      <w:r>
        <w:rPr>
          <w:b/>
          <w:i/>
          <w:iCs/>
          <w:color w:val="A6A6A6" w:themeColor="background1" w:themeShade="A6"/>
          <w:kern w:val="0"/>
          <w:sz w:val="26"/>
          <w:lang w:val="en-US" w:bidi="de-DE"/>
        </w:rPr>
        <w:lastRenderedPageBreak/>
        <w:t xml:space="preserve">Annex 2: </w:t>
      </w:r>
      <w:r w:rsidR="00E15BBA">
        <w:rPr>
          <w:b/>
          <w:i/>
          <w:iCs/>
          <w:color w:val="A6A6A6" w:themeColor="background1" w:themeShade="A6"/>
          <w:kern w:val="0"/>
          <w:sz w:val="26"/>
          <w:lang w:val="en-US" w:bidi="de-DE"/>
        </w:rPr>
        <w:t>French</w:t>
      </w:r>
      <w:r w:rsidR="00E15BBA" w:rsidRPr="00A8627F">
        <w:rPr>
          <w:b/>
          <w:i/>
          <w:iCs/>
          <w:color w:val="A6A6A6" w:themeColor="background1" w:themeShade="A6"/>
          <w:kern w:val="0"/>
          <w:sz w:val="26"/>
          <w:lang w:val="en-US" w:bidi="de-DE"/>
        </w:rPr>
        <w:t xml:space="preserve"> translation</w:t>
      </w:r>
      <w:r w:rsidR="00E15BBA">
        <w:rPr>
          <w:b/>
          <w:i/>
          <w:iCs/>
          <w:color w:val="A6A6A6" w:themeColor="background1" w:themeShade="A6"/>
          <w:kern w:val="0"/>
          <w:sz w:val="26"/>
          <w:lang w:val="en-US" w:bidi="de-DE"/>
        </w:rPr>
        <w:t>, the English version prevails</w:t>
      </w:r>
    </w:p>
    <w:p w14:paraId="2C5FD1D9" w14:textId="77777777" w:rsidR="00E15BBA" w:rsidRDefault="00E15BBA" w:rsidP="00E15BBA">
      <w:pPr>
        <w:pStyle w:val="Body"/>
        <w:spacing w:after="60"/>
        <w:jc w:val="center"/>
        <w:rPr>
          <w:rFonts w:ascii="Lato" w:eastAsiaTheme="minorEastAsia" w:hAnsi="Lato"/>
          <w:b/>
          <w:bCs/>
          <w:color w:val="002060"/>
          <w:kern w:val="0"/>
          <w:sz w:val="26"/>
          <w:szCs w:val="26"/>
          <w:lang w:eastAsia="zh-CN"/>
        </w:rPr>
      </w:pPr>
      <w:r w:rsidRPr="00060CDD">
        <w:rPr>
          <w:b/>
          <w:color w:val="002060"/>
          <w:kern w:val="0"/>
          <w:sz w:val="26"/>
          <w:lang w:val="en-US" w:bidi="fr-FR"/>
        </w:rPr>
        <w:t xml:space="preserve">BlueEarth Climate Growth Fund I, S.C.A., SICAV-RAIF </w:t>
      </w:r>
    </w:p>
    <w:p w14:paraId="73024440" w14:textId="77777777" w:rsidR="00E15BBA" w:rsidRPr="008049D2" w:rsidRDefault="00E15BBA" w:rsidP="00F90D49">
      <w:pPr>
        <w:pStyle w:val="Heading1"/>
        <w:numPr>
          <w:ilvl w:val="0"/>
          <w:numId w:val="45"/>
        </w:numPr>
        <w:ind w:left="709"/>
        <w:rPr>
          <w:sz w:val="22"/>
          <w:szCs w:val="22"/>
          <w:lang w:val="en-GB"/>
        </w:rPr>
      </w:pPr>
      <w:r w:rsidRPr="008049D2">
        <w:rPr>
          <w:sz w:val="22"/>
          <w:lang w:val="fr-FR" w:bidi="fr-FR"/>
        </w:rPr>
        <w:t xml:space="preserve">Résumé </w:t>
      </w:r>
    </w:p>
    <w:p w14:paraId="390143F6" w14:textId="77777777" w:rsidR="00E15BBA" w:rsidRPr="002C092D" w:rsidRDefault="00E15BBA" w:rsidP="00E15BBA">
      <w:pPr>
        <w:pStyle w:val="ListParagraph"/>
        <w:spacing w:after="200" w:line="276" w:lineRule="auto"/>
        <w:ind w:left="0"/>
        <w:jc w:val="both"/>
        <w:rPr>
          <w:sz w:val="22"/>
          <w:lang w:val="fr-FR" w:bidi="fr-FR"/>
        </w:rPr>
      </w:pPr>
      <w:r w:rsidRPr="008049D2">
        <w:rPr>
          <w:sz w:val="22"/>
          <w:lang w:val="fr-FR" w:bidi="fr-FR"/>
        </w:rPr>
        <w:t>Le règlement (UE) 2019/2088 du Parlement européen et du Conseil du 27 novembre 2019 sur la publication d’informations en matière de durabilité dans le secteur des services financiers (le « </w:t>
      </w:r>
      <w:r w:rsidRPr="008049D2">
        <w:rPr>
          <w:b/>
          <w:sz w:val="22"/>
          <w:lang w:val="fr-FR" w:bidi="fr-FR"/>
        </w:rPr>
        <w:t>SFDR</w:t>
      </w:r>
      <w:r w:rsidRPr="008049D2">
        <w:rPr>
          <w:sz w:val="22"/>
          <w:lang w:val="fr-FR" w:bidi="fr-FR"/>
        </w:rPr>
        <w:t> ») et le règlement (UE) 2020/852 sur l'établissement d'un cadre visant à faciliter l'investissement durable et modifiant le règlement UE 2019/2088 (le « </w:t>
      </w:r>
      <w:r w:rsidRPr="008049D2">
        <w:rPr>
          <w:b/>
          <w:sz w:val="22"/>
          <w:lang w:val="fr-FR" w:bidi="fr-FR"/>
        </w:rPr>
        <w:t>règlement sur la taxonomie</w:t>
      </w:r>
      <w:r w:rsidRPr="008049D2">
        <w:rPr>
          <w:sz w:val="22"/>
          <w:lang w:val="fr-FR" w:bidi="fr-FR"/>
        </w:rPr>
        <w:t> ») (ensemble, les « </w:t>
      </w:r>
      <w:r w:rsidRPr="008049D2">
        <w:rPr>
          <w:b/>
          <w:sz w:val="22"/>
          <w:lang w:val="fr-FR" w:bidi="fr-FR"/>
        </w:rPr>
        <w:t>règlements sur la divulgation</w:t>
      </w:r>
      <w:r w:rsidRPr="008049D2">
        <w:rPr>
          <w:sz w:val="22"/>
          <w:lang w:val="fr-FR" w:bidi="fr-FR"/>
        </w:rPr>
        <w:t> ») visent à fournir plus de transparence aux investisseurs sur l'intégration du risque de durabilité, sur la prise en compte des impacts négatifs sur la durabilité dans les processus d'investissement sur la promotion des facteurs environnementaux, sociaux et/ou de gouvernance (« </w:t>
      </w:r>
      <w:r w:rsidRPr="008049D2">
        <w:rPr>
          <w:b/>
          <w:sz w:val="22"/>
          <w:lang w:val="fr-FR" w:bidi="fr-FR"/>
        </w:rPr>
        <w:t>ESG</w:t>
      </w:r>
      <w:r w:rsidRPr="008049D2">
        <w:rPr>
          <w:sz w:val="22"/>
          <w:lang w:val="fr-FR" w:bidi="fr-FR"/>
        </w:rPr>
        <w:t xml:space="preserve"> »), et sur le fait d'avoir un objectif d'investissement durable. En particulier, il exige des gestionnaires de fonds et des conseillers qu'ils divulguent aux investisseurs des informations spécifiques liées à l'ESG sur leurs sites web. </w:t>
      </w:r>
    </w:p>
    <w:p w14:paraId="0098FFD3" w14:textId="77777777" w:rsidR="00E15BBA" w:rsidRPr="00060CDD" w:rsidRDefault="00E15BBA" w:rsidP="00E15BBA">
      <w:pPr>
        <w:pStyle w:val="ListParagraph"/>
        <w:spacing w:after="200" w:line="276" w:lineRule="auto"/>
        <w:ind w:left="0"/>
        <w:jc w:val="both"/>
        <w:rPr>
          <w:sz w:val="22"/>
          <w:szCs w:val="22"/>
          <w:lang w:val="fr-CH"/>
        </w:rPr>
      </w:pPr>
    </w:p>
    <w:p w14:paraId="089AF1C3" w14:textId="77777777" w:rsidR="00E15BBA" w:rsidRPr="00060CDD" w:rsidRDefault="00E15BBA" w:rsidP="00E15BBA">
      <w:pPr>
        <w:pStyle w:val="ListParagraph"/>
        <w:spacing w:after="200" w:line="276" w:lineRule="auto"/>
        <w:ind w:left="0"/>
        <w:jc w:val="both"/>
        <w:rPr>
          <w:sz w:val="22"/>
          <w:szCs w:val="22"/>
          <w:lang w:val="fr-CH"/>
        </w:rPr>
      </w:pPr>
      <w:r w:rsidRPr="00E576C1">
        <w:rPr>
          <w:sz w:val="22"/>
          <w:lang w:val="fr-FR" w:bidi="fr-FR"/>
        </w:rPr>
        <w:t>Les règlements sur la divulgation seront complétés par les mesures d'application de l'UE (appelées normes réglementaires et techniques ou « </w:t>
      </w:r>
      <w:r w:rsidRPr="00E576C1">
        <w:rPr>
          <w:b/>
          <w:sz w:val="22"/>
          <w:lang w:val="fr-FR" w:bidi="fr-FR"/>
        </w:rPr>
        <w:t>RTS</w:t>
      </w:r>
      <w:r w:rsidRPr="00E576C1">
        <w:rPr>
          <w:sz w:val="22"/>
          <w:lang w:val="fr-FR" w:bidi="fr-FR"/>
        </w:rPr>
        <w:t xml:space="preserve"> »), à partir du 1er janvier 2023. Toutes les divulgations liées à la durabilité figurant dans le présent document sont donc basées sur les RTS finaux publiés par les autorités de surveillance européennes le 6 avril 2022. </w:t>
      </w:r>
    </w:p>
    <w:p w14:paraId="3B396A7B" w14:textId="77777777" w:rsidR="00E15BBA" w:rsidRPr="00060CDD" w:rsidRDefault="00E15BBA" w:rsidP="00E15BBA">
      <w:pPr>
        <w:pStyle w:val="ListParagraph"/>
        <w:spacing w:after="200" w:line="276" w:lineRule="auto"/>
        <w:ind w:left="0"/>
        <w:jc w:val="both"/>
        <w:rPr>
          <w:sz w:val="22"/>
          <w:szCs w:val="22"/>
          <w:lang w:val="fr-CH"/>
        </w:rPr>
      </w:pPr>
    </w:p>
    <w:p w14:paraId="24B6CF35" w14:textId="77777777" w:rsidR="00E15BBA" w:rsidRPr="00060CDD" w:rsidRDefault="00E15BBA" w:rsidP="00E15BBA">
      <w:pPr>
        <w:pStyle w:val="ListParagraph"/>
        <w:spacing w:after="200" w:line="276" w:lineRule="auto"/>
        <w:ind w:left="0"/>
        <w:jc w:val="both"/>
        <w:rPr>
          <w:sz w:val="22"/>
          <w:szCs w:val="22"/>
          <w:lang w:val="fr-CH"/>
        </w:rPr>
      </w:pPr>
      <w:r w:rsidRPr="00AD2C96">
        <w:rPr>
          <w:sz w:val="22"/>
          <w:lang w:val="fr-FR" w:bidi="fr-FR"/>
        </w:rPr>
        <w:t>BLUEEARTH CLIMATE GROWTH FUND I, S.C.A., SICAV-RAIF (le « </w:t>
      </w:r>
      <w:r w:rsidRPr="00AD2C96">
        <w:rPr>
          <w:b/>
          <w:sz w:val="22"/>
          <w:lang w:val="fr-FR" w:bidi="fr-FR"/>
        </w:rPr>
        <w:t>Fonds</w:t>
      </w:r>
      <w:r w:rsidRPr="00AD2C96">
        <w:rPr>
          <w:sz w:val="22"/>
          <w:lang w:val="fr-FR" w:bidi="fr-FR"/>
        </w:rPr>
        <w:t xml:space="preserve"> ») est constitué pour investir dans le capital-investissement. Le Fonds est géré par son gestionnaire de fonds d'investissement alternatif, Alter Domus Management </w:t>
      </w:r>
      <w:proofErr w:type="spellStart"/>
      <w:r w:rsidRPr="00AD2C96">
        <w:rPr>
          <w:sz w:val="22"/>
          <w:lang w:val="fr-FR" w:bidi="fr-FR"/>
        </w:rPr>
        <w:t>Company</w:t>
      </w:r>
      <w:proofErr w:type="spellEnd"/>
      <w:r w:rsidRPr="00AD2C96">
        <w:rPr>
          <w:sz w:val="22"/>
          <w:lang w:val="fr-FR" w:bidi="fr-FR"/>
        </w:rPr>
        <w:t xml:space="preserve"> S.A. (le « </w:t>
      </w:r>
      <w:r w:rsidRPr="00AD2C96">
        <w:rPr>
          <w:b/>
          <w:sz w:val="22"/>
          <w:lang w:val="fr-FR" w:bidi="fr-FR"/>
        </w:rPr>
        <w:t>Gestionnaire</w:t>
      </w:r>
      <w:r w:rsidRPr="00AD2C96">
        <w:rPr>
          <w:sz w:val="22"/>
          <w:lang w:val="fr-FR" w:bidi="fr-FR"/>
        </w:rPr>
        <w:t> »). Blue Earth Capital AG agit en qualité de conseiller du gestionnaire (le « </w:t>
      </w:r>
      <w:r w:rsidRPr="00AD2C96">
        <w:rPr>
          <w:b/>
          <w:sz w:val="22"/>
          <w:lang w:val="fr-FR" w:bidi="fr-FR"/>
        </w:rPr>
        <w:t>Conseiller</w:t>
      </w:r>
      <w:r w:rsidRPr="00AD2C96">
        <w:rPr>
          <w:sz w:val="22"/>
          <w:lang w:val="fr-FR" w:bidi="fr-FR"/>
        </w:rPr>
        <w:t> »). Les informations ci-dessous fournies par le gestionnaire sont basées sur la consultation, les informations et les recommandations reçues du conseiller. Pour atteindre l'objectif d'investissement durable du Fonds, le Gestionnaire s'engage à investir de manière responsable en intégrant activement les considérations ESG dans sa sélection d'investissement et son processus de suivi continu.</w:t>
      </w:r>
    </w:p>
    <w:p w14:paraId="1437F03C" w14:textId="77777777" w:rsidR="00E15BBA" w:rsidRPr="00060CDD" w:rsidRDefault="00E15BBA" w:rsidP="00E15BBA">
      <w:pPr>
        <w:pStyle w:val="ListParagraph"/>
        <w:spacing w:after="200" w:line="276" w:lineRule="auto"/>
        <w:ind w:left="0"/>
        <w:jc w:val="both"/>
        <w:rPr>
          <w:sz w:val="22"/>
          <w:szCs w:val="22"/>
          <w:lang w:val="fr-CH"/>
        </w:rPr>
      </w:pPr>
    </w:p>
    <w:p w14:paraId="4107E851" w14:textId="77777777" w:rsidR="00E15BBA" w:rsidRPr="002C092D" w:rsidRDefault="00E15BBA" w:rsidP="00E15BBA">
      <w:pPr>
        <w:pStyle w:val="ListParagraph"/>
        <w:spacing w:after="200" w:line="276" w:lineRule="auto"/>
        <w:ind w:left="0"/>
        <w:jc w:val="both"/>
        <w:rPr>
          <w:sz w:val="22"/>
          <w:szCs w:val="22"/>
          <w:lang w:val="fr-FR"/>
        </w:rPr>
      </w:pPr>
      <w:r w:rsidRPr="006A147A">
        <w:rPr>
          <w:sz w:val="22"/>
          <w:lang w:val="fr-FR" w:bidi="fr-FR"/>
        </w:rPr>
        <w:t xml:space="preserve">L'objectif d'investissement durable du Fonds consiste à contribuer aux activités qui tentent d'accélérer la transition vers </w:t>
      </w:r>
      <w:proofErr w:type="gramStart"/>
      <w:r w:rsidRPr="006A147A">
        <w:rPr>
          <w:sz w:val="22"/>
          <w:lang w:val="fr-FR" w:bidi="fr-FR"/>
        </w:rPr>
        <w:t>le zéro émission</w:t>
      </w:r>
      <w:proofErr w:type="gramEnd"/>
      <w:r w:rsidRPr="006A147A">
        <w:rPr>
          <w:sz w:val="22"/>
          <w:lang w:val="fr-FR" w:bidi="fr-FR"/>
        </w:rPr>
        <w:t xml:space="preserve"> nette, d'améliorer la résilience de la société au changement climatique et de promouvoir l'efficacité des ressources. Le Fonds prendra en compte les principaux impacts négatifs sur la durabilité (les « </w:t>
      </w:r>
      <w:r w:rsidRPr="006A147A">
        <w:rPr>
          <w:b/>
          <w:sz w:val="22"/>
          <w:lang w:val="fr-FR" w:bidi="fr-FR"/>
        </w:rPr>
        <w:t>PASI</w:t>
      </w:r>
      <w:r w:rsidRPr="006A147A">
        <w:rPr>
          <w:sz w:val="22"/>
          <w:lang w:val="fr-FR" w:bidi="fr-FR"/>
        </w:rPr>
        <w:t> ») tels que définis dans le SFDR et documentés dans l'annexe I du RTS. Le gestionnaire entreprend une évaluation initiale des indicateurs des PASI dans le cadre de la diligence raisonnable en matière d'ESG effectuée pour chaque investissement.</w:t>
      </w:r>
      <w:r>
        <w:rPr>
          <w:sz w:val="22"/>
          <w:lang w:val="fr-FR" w:bidi="fr-FR"/>
        </w:rPr>
        <w:t xml:space="preserve"> </w:t>
      </w:r>
      <w:r w:rsidRPr="006A147A">
        <w:rPr>
          <w:sz w:val="22"/>
          <w:lang w:val="fr-FR" w:bidi="fr-FR"/>
        </w:rPr>
        <w:t>En outre, le Fonds suit une évaluation d'impact complète comprenant une analyse des facteurs de risque basée sur la méthodologie IMP</w:t>
      </w:r>
      <w:r>
        <w:rPr>
          <w:rStyle w:val="FootnoteReference"/>
          <w:sz w:val="22"/>
          <w:lang w:val="fr-FR" w:bidi="fr-FR"/>
        </w:rPr>
        <w:footnoteReference w:id="6"/>
      </w:r>
      <w:r w:rsidRPr="006A147A">
        <w:rPr>
          <w:sz w:val="22"/>
          <w:lang w:val="fr-FR" w:bidi="fr-FR"/>
        </w:rPr>
        <w:t xml:space="preserve">. </w:t>
      </w:r>
    </w:p>
    <w:p w14:paraId="67683FF1" w14:textId="77777777" w:rsidR="00E15BBA" w:rsidRPr="002C092D" w:rsidRDefault="00E15BBA" w:rsidP="00E15BBA">
      <w:pPr>
        <w:pStyle w:val="ListParagraph"/>
        <w:spacing w:after="200" w:line="276" w:lineRule="auto"/>
        <w:ind w:left="0"/>
        <w:jc w:val="both"/>
        <w:rPr>
          <w:sz w:val="22"/>
          <w:szCs w:val="22"/>
          <w:lang w:val="fr-FR"/>
        </w:rPr>
      </w:pPr>
    </w:p>
    <w:p w14:paraId="2569FC8F" w14:textId="77777777" w:rsidR="00E15BBA" w:rsidRPr="00060CDD" w:rsidRDefault="00E15BBA" w:rsidP="00E15BBA">
      <w:pPr>
        <w:pStyle w:val="ListParagraph"/>
        <w:spacing w:after="200" w:line="276" w:lineRule="auto"/>
        <w:ind w:left="0"/>
        <w:jc w:val="both"/>
        <w:rPr>
          <w:sz w:val="22"/>
          <w:szCs w:val="22"/>
          <w:lang w:val="fr-CH"/>
        </w:rPr>
      </w:pPr>
      <w:r w:rsidRPr="006F3874">
        <w:rPr>
          <w:sz w:val="22"/>
          <w:lang w:val="fr-FR" w:bidi="fr-FR"/>
        </w:rPr>
        <w:t xml:space="preserve">Le Fonds a une stratégie de marché privé visant à la fois à générer un rendement financier positif et à avoir un impact positif sur le climat. L'objectif du fonds est d'investir dans des actifs environnementaux, qualifiés d'investissements durables selon le SFDR. Pour atteindre ces </w:t>
      </w:r>
      <w:r w:rsidRPr="006F3874">
        <w:rPr>
          <w:sz w:val="22"/>
          <w:lang w:val="fr-FR" w:bidi="fr-FR"/>
        </w:rPr>
        <w:lastRenderedPageBreak/>
        <w:t>objectifs, le Fonds intègre des considérations d'impact tout au long du cycle de vie de l'investissement, y compris une méthodologie d'évaluation et de rapport d'impact de premier ordre.</w:t>
      </w:r>
    </w:p>
    <w:p w14:paraId="6E0AC506" w14:textId="77777777" w:rsidR="00E15BBA" w:rsidRPr="00060CDD" w:rsidRDefault="00E15BBA" w:rsidP="00E15BBA">
      <w:pPr>
        <w:pStyle w:val="ListParagraph"/>
        <w:spacing w:after="200" w:line="276" w:lineRule="auto"/>
        <w:ind w:left="0"/>
        <w:jc w:val="both"/>
        <w:rPr>
          <w:sz w:val="22"/>
          <w:szCs w:val="22"/>
          <w:lang w:val="fr-CH"/>
        </w:rPr>
      </w:pPr>
    </w:p>
    <w:p w14:paraId="2E357789" w14:textId="77777777" w:rsidR="00E15BBA" w:rsidRPr="00060CDD" w:rsidRDefault="00E15BBA" w:rsidP="00E15BBA">
      <w:pPr>
        <w:pStyle w:val="ListParagraph"/>
        <w:spacing w:after="200" w:line="276" w:lineRule="auto"/>
        <w:ind w:left="0"/>
        <w:jc w:val="both"/>
        <w:rPr>
          <w:sz w:val="22"/>
          <w:szCs w:val="22"/>
          <w:lang w:val="fr-CH"/>
        </w:rPr>
      </w:pPr>
      <w:r w:rsidRPr="006F3874">
        <w:rPr>
          <w:sz w:val="22"/>
          <w:lang w:val="fr-FR" w:bidi="fr-FR"/>
        </w:rPr>
        <w:t>Le gestionnaire investit dans la croissance d'entreprises attrayantes ayant un modèle économique éprouvé, un fort potentiel de développement et un impact climatique mesurable et évolutif. Le fonds investira dans les thèmes clés suivants afin d'avoir un impact significatif sur le climat : écosystème de la transition énergétique ; bâtiments et mobilité ; intelligence climatique ; production et consommation ; et alimentation et agriculture. Les stratégies d'investissement sont définies pour chaque secteur prioritaire sur la base de la viabilité à long terme des modèles commerciaux, des opportunités de croissance/création de valeur, ainsi que de l'échelle et de la profondeur de l'impact.</w:t>
      </w:r>
    </w:p>
    <w:p w14:paraId="54377C17" w14:textId="77777777" w:rsidR="00E15BBA" w:rsidRPr="00060CDD" w:rsidRDefault="00E15BBA" w:rsidP="00E15BBA">
      <w:pPr>
        <w:pStyle w:val="ListParagraph"/>
        <w:spacing w:after="200" w:line="276" w:lineRule="auto"/>
        <w:ind w:left="0"/>
        <w:jc w:val="both"/>
        <w:rPr>
          <w:sz w:val="22"/>
          <w:szCs w:val="22"/>
          <w:lang w:val="fr-CH"/>
        </w:rPr>
      </w:pPr>
    </w:p>
    <w:p w14:paraId="6FA05678" w14:textId="77777777" w:rsidR="00E15BBA" w:rsidRPr="00060CDD" w:rsidRDefault="00E15BBA" w:rsidP="00E15BBA">
      <w:pPr>
        <w:pStyle w:val="ListParagraph"/>
        <w:spacing w:after="200" w:line="276" w:lineRule="auto"/>
        <w:ind w:left="0"/>
        <w:jc w:val="both"/>
        <w:rPr>
          <w:sz w:val="22"/>
          <w:szCs w:val="22"/>
          <w:lang w:val="fr-CH"/>
        </w:rPr>
      </w:pPr>
      <w:r>
        <w:rPr>
          <w:sz w:val="22"/>
          <w:lang w:val="fr-FR" w:bidi="fr-FR"/>
        </w:rPr>
        <w:t xml:space="preserve">Le Fonds investit : (i) 90 % dans des investissements écologiquement durables ; et (ii) 10 % dans d'autres investissements qui seront composés de liquidités utilisées pour une liquidité efficace et une gestion efficace du portefeuille ou des coûts. Il est à noter que les liquidités fluctueront constamment et n'affecteront pas l'objectif de durabilité du Fonds. </w:t>
      </w:r>
    </w:p>
    <w:p w14:paraId="75222ACF" w14:textId="77777777" w:rsidR="00E15BBA" w:rsidRPr="00060CDD" w:rsidRDefault="00E15BBA" w:rsidP="00E15BBA">
      <w:pPr>
        <w:pStyle w:val="ListParagraph"/>
        <w:spacing w:after="200" w:line="276" w:lineRule="auto"/>
        <w:ind w:left="0"/>
        <w:jc w:val="both"/>
        <w:rPr>
          <w:sz w:val="22"/>
          <w:szCs w:val="22"/>
          <w:lang w:val="fr-CH"/>
        </w:rPr>
      </w:pPr>
    </w:p>
    <w:p w14:paraId="3AD132B9" w14:textId="77777777" w:rsidR="00E15BBA" w:rsidRPr="00060CDD" w:rsidRDefault="00E15BBA" w:rsidP="00E15BBA">
      <w:pPr>
        <w:pStyle w:val="ListParagraph"/>
        <w:spacing w:after="200" w:line="276" w:lineRule="auto"/>
        <w:ind w:left="0"/>
        <w:jc w:val="both"/>
        <w:rPr>
          <w:sz w:val="22"/>
          <w:szCs w:val="22"/>
          <w:lang w:val="fr-CH"/>
        </w:rPr>
      </w:pPr>
      <w:r w:rsidRPr="00A621D8">
        <w:rPr>
          <w:sz w:val="22"/>
          <w:lang w:val="fr-FR" w:bidi="fr-FR"/>
        </w:rPr>
        <w:t>Le gestionnaire effectuera une évaluation qualitative des indicateurs de durabilité sur une base régulière et surveillera activement les indicateurs de durabilité et les incidents ESG et examinera les progrès ESG sur une base annuelle.</w:t>
      </w:r>
    </w:p>
    <w:p w14:paraId="0693AFDD" w14:textId="77777777" w:rsidR="00E15BBA" w:rsidRPr="00060CDD" w:rsidRDefault="00E15BBA" w:rsidP="00E15BBA">
      <w:pPr>
        <w:pStyle w:val="ListParagraph"/>
        <w:spacing w:after="200" w:line="276" w:lineRule="auto"/>
        <w:ind w:left="0"/>
        <w:jc w:val="both"/>
        <w:rPr>
          <w:sz w:val="22"/>
          <w:szCs w:val="22"/>
          <w:lang w:val="fr-CH"/>
        </w:rPr>
      </w:pPr>
    </w:p>
    <w:p w14:paraId="6ACE5DCA" w14:textId="77777777" w:rsidR="00E15BBA" w:rsidRPr="00060CDD" w:rsidRDefault="00E15BBA" w:rsidP="00E15BBA">
      <w:pPr>
        <w:pStyle w:val="ListParagraph"/>
        <w:spacing w:after="200" w:line="276" w:lineRule="auto"/>
        <w:ind w:left="0"/>
        <w:jc w:val="both"/>
        <w:rPr>
          <w:sz w:val="22"/>
          <w:szCs w:val="22"/>
          <w:lang w:val="fr-CH"/>
        </w:rPr>
      </w:pPr>
      <w:r>
        <w:rPr>
          <w:sz w:val="22"/>
          <w:lang w:val="fr-FR" w:bidi="fr-FR"/>
        </w:rPr>
        <w:t>La méthodologie d'évaluation et de gestion de l'impact et des facteurs ESG du gestionnaire est basée sur les outils suivants : (1) Projet de gestion de l'impact ; (2) Modèle logique (« Théorie du changement ») ; (3) Objectifs de développement durable des Nations unies ; (4) Paramètres IRIS ; et Outils de diligence raisonnable ESG.</w:t>
      </w:r>
    </w:p>
    <w:p w14:paraId="09F10A8B" w14:textId="77777777" w:rsidR="00E15BBA" w:rsidRPr="00060CDD" w:rsidRDefault="00E15BBA" w:rsidP="00E15BBA">
      <w:pPr>
        <w:pStyle w:val="ListParagraph"/>
        <w:spacing w:after="200" w:line="276" w:lineRule="auto"/>
        <w:ind w:left="0"/>
        <w:jc w:val="both"/>
        <w:rPr>
          <w:sz w:val="22"/>
          <w:szCs w:val="22"/>
          <w:lang w:val="fr-CH"/>
        </w:rPr>
      </w:pPr>
    </w:p>
    <w:p w14:paraId="7F2E2938" w14:textId="77777777" w:rsidR="00E15BBA" w:rsidRPr="00060CDD" w:rsidRDefault="00E15BBA" w:rsidP="00E15BBA">
      <w:pPr>
        <w:pStyle w:val="ListParagraph"/>
        <w:spacing w:after="200" w:line="276" w:lineRule="auto"/>
        <w:ind w:left="0"/>
        <w:jc w:val="both"/>
        <w:rPr>
          <w:sz w:val="22"/>
          <w:szCs w:val="22"/>
          <w:lang w:val="fr-CH"/>
        </w:rPr>
      </w:pPr>
      <w:r>
        <w:rPr>
          <w:sz w:val="22"/>
          <w:lang w:val="fr-FR" w:bidi="fr-FR"/>
        </w:rPr>
        <w:t>Les investissements ne seront sélectionnés qu'après plusieurs points d'évaluation dans le cycle de vie de l'investissement, de l'approvisionnement et de la diligence raisonnable jusqu'à la sortie, quant à leur potentiel de générer un impact environnemental et social en accord avec les mandats du Fonds et l'objectif d'investissement durable du Fonds.</w:t>
      </w:r>
    </w:p>
    <w:p w14:paraId="28F0486D" w14:textId="77777777" w:rsidR="00E15BBA" w:rsidRPr="00060CDD" w:rsidRDefault="00E15BBA" w:rsidP="00E15BBA">
      <w:pPr>
        <w:pStyle w:val="ListParagraph"/>
        <w:spacing w:after="200" w:line="276" w:lineRule="auto"/>
        <w:ind w:left="0"/>
        <w:jc w:val="both"/>
        <w:rPr>
          <w:sz w:val="22"/>
          <w:szCs w:val="22"/>
          <w:lang w:val="fr-CH"/>
        </w:rPr>
      </w:pPr>
    </w:p>
    <w:p w14:paraId="25173379" w14:textId="77777777" w:rsidR="00E15BBA" w:rsidRPr="00060CDD" w:rsidRDefault="00E15BBA" w:rsidP="00E15BBA">
      <w:pPr>
        <w:pStyle w:val="ListParagraph"/>
        <w:spacing w:after="200" w:line="276" w:lineRule="auto"/>
        <w:ind w:left="0"/>
        <w:jc w:val="both"/>
        <w:rPr>
          <w:sz w:val="22"/>
          <w:szCs w:val="22"/>
          <w:lang w:val="fr-CH"/>
        </w:rPr>
      </w:pPr>
      <w:r w:rsidRPr="008049D2">
        <w:rPr>
          <w:sz w:val="22"/>
          <w:lang w:val="fr-FR" w:bidi="fr-FR"/>
        </w:rPr>
        <w:t>Le fonds poursuit une stratégie de gestion active des investissements et n'investit pas par référence à un indice et n'a pas l'intention de le faire.</w:t>
      </w:r>
    </w:p>
    <w:p w14:paraId="061E7371" w14:textId="77777777" w:rsidR="00E15BBA" w:rsidRPr="00060CDD" w:rsidRDefault="00E15BBA" w:rsidP="00E15BBA">
      <w:pPr>
        <w:pStyle w:val="ListParagraph"/>
        <w:rPr>
          <w:sz w:val="22"/>
          <w:szCs w:val="22"/>
          <w:lang w:val="fr-CH"/>
        </w:rPr>
      </w:pPr>
    </w:p>
    <w:p w14:paraId="593F584B" w14:textId="77777777" w:rsidR="00E15BBA" w:rsidRPr="00060CDD" w:rsidRDefault="00E15BBA" w:rsidP="00E15BBA">
      <w:pPr>
        <w:pStyle w:val="ListParagraph"/>
        <w:rPr>
          <w:sz w:val="22"/>
          <w:szCs w:val="22"/>
          <w:lang w:val="fr-CH"/>
        </w:rPr>
      </w:pPr>
    </w:p>
    <w:p w14:paraId="6E2B0F75" w14:textId="77777777" w:rsidR="00E15BBA" w:rsidRPr="00060CDD" w:rsidRDefault="00E15BBA" w:rsidP="00E15BBA">
      <w:pPr>
        <w:pStyle w:val="ListParagraph"/>
        <w:rPr>
          <w:sz w:val="22"/>
          <w:szCs w:val="22"/>
          <w:lang w:val="fr-CH"/>
        </w:rPr>
      </w:pPr>
      <w:r w:rsidRPr="00060CDD">
        <w:rPr>
          <w:sz w:val="22"/>
          <w:szCs w:val="22"/>
          <w:lang w:val="fr-CH"/>
        </w:rPr>
        <w:br w:type="page"/>
      </w:r>
    </w:p>
    <w:p w14:paraId="04FCF005" w14:textId="07E574E6" w:rsidR="00E15BBA" w:rsidRDefault="006A1FA4" w:rsidP="00E15BBA">
      <w:pPr>
        <w:pStyle w:val="Body"/>
        <w:spacing w:after="60"/>
        <w:jc w:val="left"/>
        <w:rPr>
          <w:b/>
          <w:i/>
          <w:iCs/>
          <w:color w:val="A6A6A6" w:themeColor="background1" w:themeShade="A6"/>
          <w:kern w:val="0"/>
          <w:sz w:val="26"/>
          <w:lang w:val="en-US" w:bidi="de-DE"/>
        </w:rPr>
      </w:pPr>
      <w:r>
        <w:rPr>
          <w:b/>
          <w:i/>
          <w:iCs/>
          <w:color w:val="A6A6A6" w:themeColor="background1" w:themeShade="A6"/>
          <w:kern w:val="0"/>
          <w:sz w:val="26"/>
          <w:lang w:val="en-US" w:bidi="de-DE"/>
        </w:rPr>
        <w:lastRenderedPageBreak/>
        <w:t xml:space="preserve">Annex 3: </w:t>
      </w:r>
      <w:r w:rsidR="00E15BBA">
        <w:rPr>
          <w:b/>
          <w:i/>
          <w:iCs/>
          <w:color w:val="A6A6A6" w:themeColor="background1" w:themeShade="A6"/>
          <w:kern w:val="0"/>
          <w:sz w:val="26"/>
          <w:lang w:val="en-US" w:bidi="de-DE"/>
        </w:rPr>
        <w:t>Danish</w:t>
      </w:r>
      <w:r w:rsidR="00E15BBA" w:rsidRPr="00A8627F">
        <w:rPr>
          <w:b/>
          <w:i/>
          <w:iCs/>
          <w:color w:val="A6A6A6" w:themeColor="background1" w:themeShade="A6"/>
          <w:kern w:val="0"/>
          <w:sz w:val="26"/>
          <w:lang w:val="en-US" w:bidi="de-DE"/>
        </w:rPr>
        <w:t xml:space="preserve"> translation</w:t>
      </w:r>
      <w:r w:rsidR="00E15BBA">
        <w:rPr>
          <w:b/>
          <w:i/>
          <w:iCs/>
          <w:color w:val="A6A6A6" w:themeColor="background1" w:themeShade="A6"/>
          <w:kern w:val="0"/>
          <w:sz w:val="26"/>
          <w:lang w:val="en-US" w:bidi="de-DE"/>
        </w:rPr>
        <w:t>, the English version prevails</w:t>
      </w:r>
    </w:p>
    <w:p w14:paraId="08C260DE" w14:textId="77777777" w:rsidR="00F90D49" w:rsidRDefault="00F90D49" w:rsidP="00E15BBA">
      <w:pPr>
        <w:pStyle w:val="Body"/>
        <w:spacing w:after="60"/>
        <w:jc w:val="left"/>
        <w:rPr>
          <w:b/>
          <w:i/>
          <w:iCs/>
          <w:color w:val="A6A6A6" w:themeColor="background1" w:themeShade="A6"/>
          <w:kern w:val="0"/>
          <w:sz w:val="26"/>
          <w:lang w:val="en-US" w:bidi="de-DE"/>
        </w:rPr>
      </w:pPr>
    </w:p>
    <w:p w14:paraId="7690B4AC" w14:textId="77777777" w:rsidR="00E15BBA" w:rsidRPr="003E42F3" w:rsidRDefault="00E15BBA" w:rsidP="00E15BBA">
      <w:pPr>
        <w:pStyle w:val="Body"/>
        <w:spacing w:after="60"/>
        <w:jc w:val="center"/>
        <w:rPr>
          <w:rFonts w:ascii="Lato" w:eastAsiaTheme="minorEastAsia" w:hAnsi="Lato"/>
          <w:b/>
          <w:bCs/>
          <w:color w:val="002060"/>
          <w:kern w:val="0"/>
          <w:sz w:val="26"/>
          <w:szCs w:val="26"/>
          <w:lang w:eastAsia="zh-CN"/>
        </w:rPr>
      </w:pPr>
      <w:r w:rsidRPr="003E42F3">
        <w:rPr>
          <w:rFonts w:ascii="Lato" w:hAnsi="Lato"/>
          <w:b/>
          <w:color w:val="002060"/>
          <w:kern w:val="0"/>
          <w:sz w:val="26"/>
          <w:lang w:val="da-DK" w:bidi="da-DK"/>
        </w:rPr>
        <w:t xml:space="preserve">BlueEarth </w:t>
      </w:r>
      <w:proofErr w:type="spellStart"/>
      <w:r w:rsidRPr="003E42F3">
        <w:rPr>
          <w:rFonts w:ascii="Lato" w:hAnsi="Lato"/>
          <w:b/>
          <w:color w:val="002060"/>
          <w:kern w:val="0"/>
          <w:sz w:val="26"/>
          <w:lang w:val="da-DK" w:bidi="da-DK"/>
        </w:rPr>
        <w:t>Climate</w:t>
      </w:r>
      <w:proofErr w:type="spellEnd"/>
      <w:r w:rsidRPr="003E42F3">
        <w:rPr>
          <w:rFonts w:ascii="Lato" w:hAnsi="Lato"/>
          <w:b/>
          <w:color w:val="002060"/>
          <w:kern w:val="0"/>
          <w:sz w:val="26"/>
          <w:lang w:val="da-DK" w:bidi="da-DK"/>
        </w:rPr>
        <w:t xml:space="preserve"> Growth Fund I, S.C.A., SICAV-RAIF </w:t>
      </w:r>
    </w:p>
    <w:p w14:paraId="287027EB" w14:textId="77777777" w:rsidR="00E15BBA" w:rsidRPr="008049D2" w:rsidRDefault="00E15BBA" w:rsidP="00F90D49">
      <w:pPr>
        <w:pStyle w:val="Heading1"/>
        <w:numPr>
          <w:ilvl w:val="0"/>
          <w:numId w:val="46"/>
        </w:numPr>
        <w:ind w:left="709"/>
        <w:rPr>
          <w:sz w:val="22"/>
          <w:szCs w:val="22"/>
          <w:lang w:val="en-GB"/>
        </w:rPr>
      </w:pPr>
      <w:r w:rsidRPr="008049D2">
        <w:rPr>
          <w:sz w:val="22"/>
          <w:lang w:val="da-DK" w:bidi="da-DK"/>
        </w:rPr>
        <w:t xml:space="preserve">Oversigt </w:t>
      </w:r>
    </w:p>
    <w:p w14:paraId="71B8188B" w14:textId="77777777" w:rsidR="00E15BBA" w:rsidRPr="00060CDD" w:rsidRDefault="00E15BBA" w:rsidP="00E15BBA">
      <w:pPr>
        <w:pStyle w:val="ListParagraph"/>
        <w:spacing w:after="200" w:line="276" w:lineRule="auto"/>
        <w:ind w:left="0"/>
        <w:jc w:val="both"/>
        <w:rPr>
          <w:sz w:val="22"/>
          <w:szCs w:val="22"/>
          <w:lang w:val="da-DK"/>
        </w:rPr>
      </w:pPr>
      <w:r w:rsidRPr="008049D2">
        <w:rPr>
          <w:sz w:val="22"/>
          <w:lang w:val="da-DK" w:bidi="da-DK"/>
        </w:rPr>
        <w:t>Europa-Parlamentets og EU-Rådets forordning (EU) 2019/2088 af 27. november 2019 om bæredygtighedsrelaterede oplysninger i sektoren for finansielle tjenesteydelser ("</w:t>
      </w:r>
      <w:r w:rsidRPr="008049D2">
        <w:rPr>
          <w:b/>
          <w:sz w:val="22"/>
          <w:lang w:val="da-DK" w:bidi="da-DK"/>
        </w:rPr>
        <w:t>SFDR</w:t>
      </w:r>
      <w:r w:rsidRPr="008049D2">
        <w:rPr>
          <w:sz w:val="22"/>
          <w:lang w:val="da-DK" w:bidi="da-DK"/>
        </w:rPr>
        <w:t>") og forordning (EU) 2020/852 om oprettelse af en rammer for at fremme bæredygtige investeringer og ændring af EU-forordning 2019/2088 ("</w:t>
      </w:r>
      <w:proofErr w:type="spellStart"/>
      <w:r w:rsidRPr="008049D2">
        <w:rPr>
          <w:b/>
          <w:sz w:val="22"/>
          <w:lang w:val="da-DK" w:bidi="da-DK"/>
        </w:rPr>
        <w:t>Taxonomiforordningen</w:t>
      </w:r>
      <w:proofErr w:type="spellEnd"/>
      <w:r w:rsidRPr="008049D2">
        <w:rPr>
          <w:sz w:val="22"/>
          <w:lang w:val="da-DK" w:bidi="da-DK"/>
        </w:rPr>
        <w:t>") (sammen "</w:t>
      </w:r>
      <w:r w:rsidRPr="008049D2">
        <w:rPr>
          <w:b/>
          <w:sz w:val="22"/>
          <w:lang w:val="da-DK" w:bidi="da-DK"/>
        </w:rPr>
        <w:t>Oplysningsforordningerne</w:t>
      </w:r>
      <w:r w:rsidRPr="008049D2">
        <w:rPr>
          <w:sz w:val="22"/>
          <w:lang w:val="da-DK" w:bidi="da-DK"/>
        </w:rPr>
        <w:t>") har til formål at give investorer mere gennemsigtighed om bæredygtighedsrisikointegration, hensyntagen til negative konsekvenser for bæredygtigheden i investeringsprocesserne i henhold til fremmelse af miljømæssige, sociale og/eller styringsfaktorer (“</w:t>
      </w:r>
      <w:r w:rsidRPr="008049D2">
        <w:rPr>
          <w:b/>
          <w:sz w:val="22"/>
          <w:lang w:val="da-DK" w:bidi="da-DK"/>
        </w:rPr>
        <w:t>ESG</w:t>
      </w:r>
      <w:r w:rsidRPr="008049D2">
        <w:rPr>
          <w:sz w:val="22"/>
          <w:lang w:val="da-DK" w:bidi="da-DK"/>
        </w:rPr>
        <w:t xml:space="preserve">”) og om at have bæredygtige investeringsmål. Det kræver især, at fondsforvaltere og rådgivere offentliggør specifik ESG-relateret information til investorer på deres hjemmesider. </w:t>
      </w:r>
    </w:p>
    <w:p w14:paraId="3E9272D9" w14:textId="77777777" w:rsidR="00E15BBA" w:rsidRPr="00060CDD" w:rsidRDefault="00E15BBA" w:rsidP="00E15BBA">
      <w:pPr>
        <w:pStyle w:val="ListParagraph"/>
        <w:spacing w:after="200" w:line="276" w:lineRule="auto"/>
        <w:ind w:left="0"/>
        <w:jc w:val="both"/>
        <w:rPr>
          <w:sz w:val="22"/>
          <w:szCs w:val="22"/>
          <w:lang w:val="da-DK"/>
        </w:rPr>
      </w:pPr>
    </w:p>
    <w:p w14:paraId="134CCD78" w14:textId="77777777" w:rsidR="00E15BBA" w:rsidRPr="00060CDD" w:rsidRDefault="00E15BBA" w:rsidP="00E15BBA">
      <w:pPr>
        <w:pStyle w:val="ListParagraph"/>
        <w:spacing w:after="200" w:line="276" w:lineRule="auto"/>
        <w:ind w:left="0"/>
        <w:jc w:val="both"/>
        <w:rPr>
          <w:sz w:val="22"/>
          <w:szCs w:val="22"/>
          <w:lang w:val="da-DK"/>
        </w:rPr>
      </w:pPr>
      <w:r w:rsidRPr="00E576C1">
        <w:rPr>
          <w:sz w:val="22"/>
          <w:lang w:val="da-DK" w:bidi="da-DK"/>
        </w:rPr>
        <w:t>Offentliggørelsesforordningerne vil blive suppleret af EU's gennemførelsesforanstaltninger (såkaldte regulatoriske og tekniske standarder eller "</w:t>
      </w:r>
      <w:r w:rsidRPr="00E576C1">
        <w:rPr>
          <w:b/>
          <w:sz w:val="22"/>
          <w:lang w:val="da-DK" w:bidi="da-DK"/>
        </w:rPr>
        <w:t>RTS</w:t>
      </w:r>
      <w:r w:rsidRPr="00E576C1">
        <w:rPr>
          <w:sz w:val="22"/>
          <w:lang w:val="da-DK" w:bidi="da-DK"/>
        </w:rPr>
        <w:t xml:space="preserve">") fra 1. januar 2023. Alle bæredygtighedsrelaterede offentliggørelser heri er derfor baseret på den endelige RTS offentliggjort af de europæiske tilsynsmyndigheder den 6. april 2022. </w:t>
      </w:r>
    </w:p>
    <w:p w14:paraId="047337E2" w14:textId="77777777" w:rsidR="00E15BBA" w:rsidRPr="00060CDD" w:rsidRDefault="00E15BBA" w:rsidP="00E15BBA">
      <w:pPr>
        <w:pStyle w:val="ListParagraph"/>
        <w:spacing w:after="200" w:line="276" w:lineRule="auto"/>
        <w:ind w:left="0"/>
        <w:jc w:val="both"/>
        <w:rPr>
          <w:sz w:val="22"/>
          <w:szCs w:val="22"/>
          <w:lang w:val="da-DK"/>
        </w:rPr>
      </w:pPr>
    </w:p>
    <w:p w14:paraId="533390EC" w14:textId="77777777" w:rsidR="00E15BBA" w:rsidRPr="00060CDD" w:rsidRDefault="00E15BBA" w:rsidP="00E15BBA">
      <w:pPr>
        <w:pStyle w:val="ListParagraph"/>
        <w:spacing w:after="200" w:line="276" w:lineRule="auto"/>
        <w:ind w:left="0"/>
        <w:jc w:val="both"/>
        <w:rPr>
          <w:sz w:val="22"/>
          <w:szCs w:val="22"/>
          <w:lang w:val="da-DK"/>
        </w:rPr>
      </w:pPr>
      <w:r w:rsidRPr="00AD2C96">
        <w:rPr>
          <w:sz w:val="22"/>
          <w:lang w:val="da-DK" w:bidi="da-DK"/>
        </w:rPr>
        <w:t>BLUEEARTH CLIMATE Growth FUND I, S.C.A., SICAV-RAIF ("</w:t>
      </w:r>
      <w:r w:rsidRPr="00AD2C96">
        <w:rPr>
          <w:b/>
          <w:sz w:val="22"/>
          <w:lang w:val="da-DK" w:bidi="da-DK"/>
        </w:rPr>
        <w:t>Fonden</w:t>
      </w:r>
      <w:r w:rsidRPr="00AD2C96">
        <w:rPr>
          <w:sz w:val="22"/>
          <w:lang w:val="da-DK" w:bidi="da-DK"/>
        </w:rPr>
        <w:t>") er ved at blive dannet for at investere i kapitalfonde. Fonden forvaltes af dens forvalter af alternative investeringsfonde, Alter Domus Management Company S.A. (“</w:t>
      </w:r>
      <w:r w:rsidRPr="00AD2C96">
        <w:rPr>
          <w:b/>
          <w:sz w:val="22"/>
          <w:lang w:val="da-DK" w:bidi="da-DK"/>
        </w:rPr>
        <w:t>Forvalteren</w:t>
      </w:r>
      <w:r w:rsidRPr="00AD2C96">
        <w:rPr>
          <w:sz w:val="22"/>
          <w:lang w:val="da-DK" w:bidi="da-DK"/>
        </w:rPr>
        <w:t>”). Blue Earth Capital AG fungerer som rådgiver for forvalteren ("</w:t>
      </w:r>
      <w:r w:rsidRPr="00AD2C96">
        <w:rPr>
          <w:b/>
          <w:sz w:val="22"/>
          <w:lang w:val="da-DK" w:bidi="da-DK"/>
        </w:rPr>
        <w:t>Rådgiveren</w:t>
      </w:r>
      <w:r w:rsidRPr="00AD2C96">
        <w:rPr>
          <w:sz w:val="22"/>
          <w:lang w:val="da-DK" w:bidi="da-DK"/>
        </w:rPr>
        <w:t>"). Nedenstående oplysninger fra forvalteren er baseret på den høring, information og anbefalinger, som er modtaget fra rådgiveren. For at opfylde fondens bæredygtige investeringsmålsætninger er forvalteren forpligtet til at investere på en ansvarlig måde ved aktivt at integrere ESG-overvejelser i fondens investeringsvalg og en løbende overvågningsproces.</w:t>
      </w:r>
    </w:p>
    <w:p w14:paraId="7C4B93EF" w14:textId="77777777" w:rsidR="00E15BBA" w:rsidRPr="00060CDD" w:rsidRDefault="00E15BBA" w:rsidP="00E15BBA">
      <w:pPr>
        <w:pStyle w:val="ListParagraph"/>
        <w:spacing w:after="200" w:line="276" w:lineRule="auto"/>
        <w:ind w:left="0"/>
        <w:jc w:val="both"/>
        <w:rPr>
          <w:sz w:val="22"/>
          <w:szCs w:val="22"/>
          <w:lang w:val="da-DK"/>
        </w:rPr>
      </w:pPr>
    </w:p>
    <w:p w14:paraId="7A772EBB" w14:textId="77777777" w:rsidR="00E15BBA" w:rsidRPr="00060CDD" w:rsidRDefault="00E15BBA" w:rsidP="00E15BBA">
      <w:pPr>
        <w:pStyle w:val="ListParagraph"/>
        <w:spacing w:after="200" w:line="276" w:lineRule="auto"/>
        <w:ind w:left="0"/>
        <w:jc w:val="both"/>
        <w:rPr>
          <w:sz w:val="22"/>
          <w:szCs w:val="22"/>
          <w:lang w:val="da-DK"/>
        </w:rPr>
      </w:pPr>
      <w:r w:rsidRPr="006A147A">
        <w:rPr>
          <w:sz w:val="22"/>
          <w:lang w:val="da-DK" w:bidi="da-DK"/>
        </w:rPr>
        <w:t>Fondens bæredygtige investeringsmål er at bidrage til aktiviteter, der forsøger at fremskynde netto-nul-omstillingen, forbedre samfundets modstandsdygtighed over for klimaforandringer og fremme ressourceeffektivitet. Fonden vil tage væsentligste negative bæredygtighedspåvirkninger ("</w:t>
      </w:r>
      <w:proofErr w:type="spellStart"/>
      <w:r w:rsidRPr="006A147A">
        <w:rPr>
          <w:b/>
          <w:sz w:val="22"/>
          <w:lang w:val="da-DK" w:bidi="da-DK"/>
        </w:rPr>
        <w:t>PASI'erne</w:t>
      </w:r>
      <w:proofErr w:type="spellEnd"/>
      <w:r w:rsidRPr="006A147A">
        <w:rPr>
          <w:sz w:val="22"/>
          <w:lang w:val="da-DK" w:bidi="da-DK"/>
        </w:rPr>
        <w:t xml:space="preserve">") i betragtning som defineret i SFDR og dokumenteret i bilag I til RTS. Forvalteren foretager en indledende vurdering af </w:t>
      </w:r>
      <w:proofErr w:type="spellStart"/>
      <w:r w:rsidRPr="006A147A">
        <w:rPr>
          <w:sz w:val="22"/>
          <w:lang w:val="da-DK" w:bidi="da-DK"/>
        </w:rPr>
        <w:t>PASIs</w:t>
      </w:r>
      <w:proofErr w:type="spellEnd"/>
      <w:r w:rsidRPr="006A147A">
        <w:rPr>
          <w:sz w:val="22"/>
          <w:lang w:val="da-DK" w:bidi="da-DK"/>
        </w:rPr>
        <w:t xml:space="preserve"> indikatorer som en del af ESG due diligence, der er gennemført for hver enkelt </w:t>
      </w:r>
      <w:proofErr w:type="spellStart"/>
      <w:proofErr w:type="gramStart"/>
      <w:r w:rsidRPr="006A147A">
        <w:rPr>
          <w:sz w:val="22"/>
          <w:lang w:val="da-DK" w:bidi="da-DK"/>
        </w:rPr>
        <w:t>investering.Derudover</w:t>
      </w:r>
      <w:proofErr w:type="spellEnd"/>
      <w:proofErr w:type="gramEnd"/>
      <w:r w:rsidRPr="006A147A">
        <w:rPr>
          <w:sz w:val="22"/>
          <w:lang w:val="da-DK" w:bidi="da-DK"/>
        </w:rPr>
        <w:t xml:space="preserve"> følger fonden op med en omfattende konsekvensanalyse, herunder en analyse af risikofaktorer baseret på IMP</w:t>
      </w:r>
      <w:r>
        <w:rPr>
          <w:rStyle w:val="FootnoteReference"/>
          <w:sz w:val="22"/>
          <w:lang w:val="da-DK" w:bidi="da-DK"/>
        </w:rPr>
        <w:footnoteReference w:id="7"/>
      </w:r>
      <w:r w:rsidRPr="006A147A">
        <w:rPr>
          <w:sz w:val="22"/>
          <w:lang w:val="da-DK" w:bidi="da-DK"/>
        </w:rPr>
        <w:t xml:space="preserve">-metoden. </w:t>
      </w:r>
    </w:p>
    <w:p w14:paraId="4948C653" w14:textId="77777777" w:rsidR="00E15BBA" w:rsidRPr="00060CDD" w:rsidRDefault="00E15BBA" w:rsidP="00E15BBA">
      <w:pPr>
        <w:pStyle w:val="ListParagraph"/>
        <w:spacing w:after="200" w:line="276" w:lineRule="auto"/>
        <w:ind w:left="0"/>
        <w:jc w:val="both"/>
        <w:rPr>
          <w:sz w:val="22"/>
          <w:szCs w:val="22"/>
          <w:lang w:val="da-DK"/>
        </w:rPr>
      </w:pPr>
    </w:p>
    <w:p w14:paraId="07ED4AE1" w14:textId="77777777" w:rsidR="00E15BBA" w:rsidRPr="00060CDD" w:rsidRDefault="00E15BBA" w:rsidP="00E15BBA">
      <w:pPr>
        <w:pStyle w:val="ListParagraph"/>
        <w:spacing w:after="200" w:line="276" w:lineRule="auto"/>
        <w:ind w:left="0"/>
        <w:jc w:val="both"/>
        <w:rPr>
          <w:sz w:val="22"/>
          <w:szCs w:val="22"/>
          <w:lang w:val="da-DK"/>
        </w:rPr>
      </w:pPr>
      <w:r w:rsidRPr="006F3874">
        <w:rPr>
          <w:sz w:val="22"/>
          <w:lang w:val="da-DK" w:bidi="da-DK"/>
        </w:rPr>
        <w:t xml:space="preserve">Fonden har en privatmarkedsstrategi, der sigter mod både at skabe et positivt økonomisk afkast og at opnå en positiv klimapåvirkning. Fondens formål er at investere i miljøaktiver, der er kvalificeret som bæredygtige investeringer i henhold til SFDR. For at nå disse mål integrerer fonden konsekvensbetragtninger gennem hele investeringslivscyklussen, herunder en </w:t>
      </w:r>
      <w:proofErr w:type="spellStart"/>
      <w:r w:rsidRPr="006F3874">
        <w:rPr>
          <w:sz w:val="22"/>
          <w:lang w:val="da-DK" w:bidi="da-DK"/>
        </w:rPr>
        <w:t>best</w:t>
      </w:r>
      <w:proofErr w:type="spellEnd"/>
      <w:r w:rsidRPr="006F3874">
        <w:rPr>
          <w:sz w:val="22"/>
          <w:lang w:val="da-DK" w:bidi="da-DK"/>
        </w:rPr>
        <w:t>-in-class konsekvensvurdering og rapporteringsmetode.</w:t>
      </w:r>
    </w:p>
    <w:p w14:paraId="355E3C5B" w14:textId="77777777" w:rsidR="00E15BBA" w:rsidRPr="00060CDD" w:rsidRDefault="00E15BBA" w:rsidP="00E15BBA">
      <w:pPr>
        <w:pStyle w:val="ListParagraph"/>
        <w:spacing w:after="200" w:line="276" w:lineRule="auto"/>
        <w:ind w:left="0"/>
        <w:jc w:val="both"/>
        <w:rPr>
          <w:sz w:val="22"/>
          <w:szCs w:val="22"/>
          <w:lang w:val="da-DK"/>
        </w:rPr>
      </w:pPr>
    </w:p>
    <w:p w14:paraId="7B3E45BF" w14:textId="77777777" w:rsidR="00E15BBA" w:rsidRPr="00060CDD" w:rsidRDefault="00E15BBA" w:rsidP="00E15BBA">
      <w:pPr>
        <w:pStyle w:val="ListParagraph"/>
        <w:spacing w:after="200" w:line="276" w:lineRule="auto"/>
        <w:ind w:left="0"/>
        <w:jc w:val="both"/>
        <w:rPr>
          <w:sz w:val="22"/>
          <w:szCs w:val="22"/>
          <w:lang w:val="da-DK"/>
        </w:rPr>
      </w:pPr>
      <w:r w:rsidRPr="006F3874">
        <w:rPr>
          <w:sz w:val="22"/>
          <w:lang w:val="da-DK" w:bidi="da-DK"/>
        </w:rPr>
        <w:t>Forvalteren investerer i vækst af attraktive virksomheder med en dokumenteret forretningsmodel, et højt udviklingspotentiale og en målbar og skalerbar klimapåvirkning. Fonden vil investere i følgende nøgletemaer for at levere en meningsfuld klimapåvirkning: økosystem for energiomstilling, bygninger &amp; mobilitet, klimaintelligens, produktion &amp; forbrug og fødevarer &amp; landbrug. Investeringsstrategier defineres for hver prioriteret sektor på grundlag af forretningsmodellernes langsigtede levedygtighed, vækst-/værdiskabelsesmuligheder samt omfang og dybde af virkning.</w:t>
      </w:r>
    </w:p>
    <w:p w14:paraId="1F06B6A9" w14:textId="77777777" w:rsidR="00E15BBA" w:rsidRPr="00060CDD" w:rsidRDefault="00E15BBA" w:rsidP="00E15BBA">
      <w:pPr>
        <w:pStyle w:val="ListParagraph"/>
        <w:spacing w:after="200" w:line="276" w:lineRule="auto"/>
        <w:ind w:left="0"/>
        <w:jc w:val="both"/>
        <w:rPr>
          <w:sz w:val="22"/>
          <w:szCs w:val="22"/>
          <w:lang w:val="da-DK"/>
        </w:rPr>
      </w:pPr>
    </w:p>
    <w:p w14:paraId="5F9A380D" w14:textId="77777777" w:rsidR="00E15BBA" w:rsidRPr="00060CDD" w:rsidRDefault="00E15BBA" w:rsidP="00E15BBA">
      <w:pPr>
        <w:pStyle w:val="ListParagraph"/>
        <w:spacing w:after="200" w:line="276" w:lineRule="auto"/>
        <w:ind w:left="0"/>
        <w:jc w:val="both"/>
        <w:rPr>
          <w:sz w:val="22"/>
          <w:szCs w:val="22"/>
          <w:lang w:val="da-DK"/>
        </w:rPr>
      </w:pPr>
      <w:r>
        <w:rPr>
          <w:sz w:val="22"/>
          <w:lang w:val="da-DK" w:bidi="da-DK"/>
        </w:rPr>
        <w:t xml:space="preserve">Fonden investerer: (i) 90% i miljømæssigt bæredygtige investeringer; og (ii) 10% i andre investeringer, som vil være sammensat af kontanter, der anvendes til effektiv likviditet og effektiv porteføljeforvaltning eller omkostningsstyring. Det bemærkes, at kontanterne konstant vil svinge og ikke vil påvirke fondens bæredygtighedsmålsætning. </w:t>
      </w:r>
    </w:p>
    <w:p w14:paraId="3A652F94" w14:textId="77777777" w:rsidR="00E15BBA" w:rsidRPr="00060CDD" w:rsidRDefault="00E15BBA" w:rsidP="00E15BBA">
      <w:pPr>
        <w:pStyle w:val="ListParagraph"/>
        <w:spacing w:after="200" w:line="276" w:lineRule="auto"/>
        <w:ind w:left="0"/>
        <w:jc w:val="both"/>
        <w:rPr>
          <w:sz w:val="22"/>
          <w:szCs w:val="22"/>
          <w:lang w:val="da-DK"/>
        </w:rPr>
      </w:pPr>
    </w:p>
    <w:p w14:paraId="56DF06F9" w14:textId="77777777" w:rsidR="00E15BBA" w:rsidRPr="00060CDD" w:rsidRDefault="00E15BBA" w:rsidP="00E15BBA">
      <w:pPr>
        <w:pStyle w:val="ListParagraph"/>
        <w:spacing w:after="200" w:line="276" w:lineRule="auto"/>
        <w:ind w:left="0"/>
        <w:jc w:val="both"/>
        <w:rPr>
          <w:sz w:val="22"/>
          <w:szCs w:val="22"/>
          <w:lang w:val="da-DK"/>
        </w:rPr>
      </w:pPr>
      <w:r w:rsidRPr="00A621D8">
        <w:rPr>
          <w:sz w:val="22"/>
          <w:lang w:val="da-DK" w:bidi="da-DK"/>
        </w:rPr>
        <w:t>Forvalteren vil regelmæssigt foretage en kvalitativ vurdering af bæredygtighedsindikatorer og vil aktivt overvåge bæredygtighedsindikatorer og ESG-hændelser og vil gennemgå ESG-fremskridt på en årlig basis.</w:t>
      </w:r>
    </w:p>
    <w:p w14:paraId="451B5FDD" w14:textId="77777777" w:rsidR="00E15BBA" w:rsidRPr="00060CDD" w:rsidRDefault="00E15BBA" w:rsidP="00E15BBA">
      <w:pPr>
        <w:pStyle w:val="ListParagraph"/>
        <w:spacing w:after="200" w:line="276" w:lineRule="auto"/>
        <w:ind w:left="0"/>
        <w:jc w:val="both"/>
        <w:rPr>
          <w:sz w:val="22"/>
          <w:szCs w:val="22"/>
          <w:lang w:val="da-DK"/>
        </w:rPr>
      </w:pPr>
    </w:p>
    <w:p w14:paraId="46398038" w14:textId="77777777" w:rsidR="00E15BBA" w:rsidRPr="00060CDD" w:rsidRDefault="00E15BBA" w:rsidP="00E15BBA">
      <w:pPr>
        <w:pStyle w:val="ListParagraph"/>
        <w:spacing w:after="200" w:line="276" w:lineRule="auto"/>
        <w:ind w:left="0"/>
        <w:jc w:val="both"/>
        <w:rPr>
          <w:sz w:val="22"/>
          <w:szCs w:val="22"/>
          <w:lang w:val="da-DK"/>
        </w:rPr>
      </w:pPr>
      <w:r>
        <w:rPr>
          <w:sz w:val="22"/>
          <w:lang w:val="da-DK" w:bidi="da-DK"/>
        </w:rPr>
        <w:t xml:space="preserve">Forvalterens effekt- og ESG-vurdering og ledelsesmetodologi er baseret på følgende værktøjer: (1) </w:t>
      </w:r>
      <w:proofErr w:type="spellStart"/>
      <w:r>
        <w:rPr>
          <w:sz w:val="22"/>
          <w:lang w:val="da-DK" w:bidi="da-DK"/>
        </w:rPr>
        <w:t>Impact</w:t>
      </w:r>
      <w:proofErr w:type="spellEnd"/>
      <w:r>
        <w:rPr>
          <w:sz w:val="22"/>
          <w:lang w:val="da-DK" w:bidi="da-DK"/>
        </w:rPr>
        <w:t xml:space="preserve"> Management Project, (2) Logisk model ("Teori om forandring"), (3) FN's mål for bæredygtig udvikling, (4) IRIS-målinger og ESG Due Diligence-værktøjer.</w:t>
      </w:r>
    </w:p>
    <w:p w14:paraId="26F8C381" w14:textId="77777777" w:rsidR="00E15BBA" w:rsidRPr="00060CDD" w:rsidRDefault="00E15BBA" w:rsidP="00E15BBA">
      <w:pPr>
        <w:pStyle w:val="ListParagraph"/>
        <w:spacing w:after="200" w:line="276" w:lineRule="auto"/>
        <w:ind w:left="0"/>
        <w:jc w:val="both"/>
        <w:rPr>
          <w:sz w:val="22"/>
          <w:szCs w:val="22"/>
          <w:lang w:val="da-DK"/>
        </w:rPr>
      </w:pPr>
    </w:p>
    <w:p w14:paraId="3070F991" w14:textId="77777777" w:rsidR="00E15BBA" w:rsidRPr="00060CDD" w:rsidRDefault="00E15BBA" w:rsidP="00E15BBA">
      <w:pPr>
        <w:pStyle w:val="ListParagraph"/>
        <w:spacing w:after="200" w:line="276" w:lineRule="auto"/>
        <w:ind w:left="0"/>
        <w:jc w:val="both"/>
        <w:rPr>
          <w:sz w:val="22"/>
          <w:szCs w:val="22"/>
          <w:lang w:val="da-DK"/>
        </w:rPr>
      </w:pPr>
      <w:r>
        <w:rPr>
          <w:sz w:val="22"/>
          <w:lang w:val="da-DK" w:bidi="da-DK"/>
        </w:rPr>
        <w:t>Investeringer vil kun blive udvalgt efter flere vurderingspunkter i investeringslivscyklussen, fra indkøb af aftaler og due diligence gennem exit, for deres potentiale til at generere miljømæssige og sociale påvirkninger i overensstemmelse med fondens mandater og fondens bæredygtige investeringsmål.</w:t>
      </w:r>
    </w:p>
    <w:p w14:paraId="7922F103" w14:textId="77777777" w:rsidR="00E15BBA" w:rsidRPr="00060CDD" w:rsidRDefault="00E15BBA" w:rsidP="00E15BBA">
      <w:pPr>
        <w:pStyle w:val="ListParagraph"/>
        <w:spacing w:after="200" w:line="276" w:lineRule="auto"/>
        <w:ind w:left="0"/>
        <w:jc w:val="both"/>
        <w:rPr>
          <w:sz w:val="22"/>
          <w:szCs w:val="22"/>
          <w:lang w:val="da-DK"/>
        </w:rPr>
      </w:pPr>
    </w:p>
    <w:p w14:paraId="4C84E8EA" w14:textId="77777777" w:rsidR="00E15BBA" w:rsidRPr="00060CDD" w:rsidRDefault="00E15BBA" w:rsidP="00E15BBA">
      <w:pPr>
        <w:pStyle w:val="ListParagraph"/>
        <w:spacing w:after="200" w:line="276" w:lineRule="auto"/>
        <w:ind w:left="0"/>
        <w:jc w:val="both"/>
        <w:rPr>
          <w:sz w:val="22"/>
          <w:szCs w:val="22"/>
          <w:lang w:val="da-DK"/>
        </w:rPr>
      </w:pPr>
      <w:r w:rsidRPr="008049D2">
        <w:rPr>
          <w:sz w:val="22"/>
          <w:lang w:val="da-DK" w:bidi="da-DK"/>
        </w:rPr>
        <w:t>Fonden forfølger en aktiv investeringsforvaltningsstrategi og investerer ikke med henvisning til noget indeks og har ikke til hensigt at gøre det.</w:t>
      </w:r>
    </w:p>
    <w:p w14:paraId="21E83758" w14:textId="77777777" w:rsidR="00E15BBA" w:rsidRPr="00060CDD" w:rsidRDefault="00E15BBA" w:rsidP="00E15BBA">
      <w:pPr>
        <w:pStyle w:val="ListParagraph"/>
        <w:rPr>
          <w:sz w:val="22"/>
          <w:szCs w:val="22"/>
          <w:lang w:val="da-DK"/>
        </w:rPr>
      </w:pPr>
    </w:p>
    <w:p w14:paraId="649FF8BE" w14:textId="77777777" w:rsidR="00E15BBA" w:rsidRDefault="00E15BBA" w:rsidP="00E15BBA">
      <w:pPr>
        <w:pStyle w:val="ListParagraph"/>
        <w:rPr>
          <w:sz w:val="22"/>
          <w:szCs w:val="22"/>
          <w:lang w:val="da-DK"/>
        </w:rPr>
      </w:pPr>
      <w:r>
        <w:rPr>
          <w:sz w:val="22"/>
          <w:szCs w:val="22"/>
          <w:lang w:val="da-DK"/>
        </w:rPr>
        <w:br w:type="page"/>
      </w:r>
    </w:p>
    <w:p w14:paraId="68167FB1" w14:textId="748F9B03" w:rsidR="00E15BBA" w:rsidRDefault="006A1FA4" w:rsidP="00E15BBA">
      <w:pPr>
        <w:pStyle w:val="Body"/>
        <w:spacing w:after="60"/>
        <w:jc w:val="left"/>
        <w:rPr>
          <w:b/>
          <w:i/>
          <w:iCs/>
          <w:color w:val="A6A6A6" w:themeColor="background1" w:themeShade="A6"/>
          <w:kern w:val="0"/>
          <w:sz w:val="26"/>
          <w:lang w:val="en-US" w:bidi="de-DE"/>
        </w:rPr>
      </w:pPr>
      <w:r>
        <w:rPr>
          <w:b/>
          <w:i/>
          <w:iCs/>
          <w:color w:val="A6A6A6" w:themeColor="background1" w:themeShade="A6"/>
          <w:kern w:val="0"/>
          <w:sz w:val="26"/>
          <w:lang w:val="en-US" w:bidi="de-DE"/>
        </w:rPr>
        <w:lastRenderedPageBreak/>
        <w:t xml:space="preserve">Annex 4: </w:t>
      </w:r>
      <w:r w:rsidR="00E15BBA">
        <w:rPr>
          <w:b/>
          <w:i/>
          <w:iCs/>
          <w:color w:val="A6A6A6" w:themeColor="background1" w:themeShade="A6"/>
          <w:kern w:val="0"/>
          <w:sz w:val="26"/>
          <w:lang w:val="en-US" w:bidi="de-DE"/>
        </w:rPr>
        <w:t>Finnish</w:t>
      </w:r>
      <w:r w:rsidR="00E15BBA" w:rsidRPr="00A8627F">
        <w:rPr>
          <w:b/>
          <w:i/>
          <w:iCs/>
          <w:color w:val="A6A6A6" w:themeColor="background1" w:themeShade="A6"/>
          <w:kern w:val="0"/>
          <w:sz w:val="26"/>
          <w:lang w:val="en-US" w:bidi="de-DE"/>
        </w:rPr>
        <w:t xml:space="preserve"> translation</w:t>
      </w:r>
      <w:r w:rsidR="00E15BBA">
        <w:rPr>
          <w:b/>
          <w:i/>
          <w:iCs/>
          <w:color w:val="A6A6A6" w:themeColor="background1" w:themeShade="A6"/>
          <w:kern w:val="0"/>
          <w:sz w:val="26"/>
          <w:lang w:val="en-US" w:bidi="de-DE"/>
        </w:rPr>
        <w:t>, the English version prevails</w:t>
      </w:r>
    </w:p>
    <w:p w14:paraId="443ABD59" w14:textId="77777777" w:rsidR="00F90D49" w:rsidRDefault="00F90D49" w:rsidP="00E15BBA">
      <w:pPr>
        <w:pStyle w:val="Body"/>
        <w:spacing w:after="60"/>
        <w:jc w:val="left"/>
        <w:rPr>
          <w:b/>
          <w:i/>
          <w:iCs/>
          <w:color w:val="A6A6A6" w:themeColor="background1" w:themeShade="A6"/>
          <w:kern w:val="0"/>
          <w:sz w:val="26"/>
          <w:lang w:val="en-US" w:bidi="de-DE"/>
        </w:rPr>
      </w:pPr>
    </w:p>
    <w:p w14:paraId="422D8E01" w14:textId="77777777" w:rsidR="00E15BBA" w:rsidRDefault="00E15BBA" w:rsidP="00E15BBA">
      <w:pPr>
        <w:pStyle w:val="Body"/>
        <w:spacing w:after="60"/>
        <w:jc w:val="center"/>
        <w:rPr>
          <w:rFonts w:ascii="Lato" w:eastAsiaTheme="minorEastAsia" w:hAnsi="Lato"/>
          <w:b/>
          <w:bCs/>
          <w:color w:val="002060"/>
          <w:kern w:val="0"/>
          <w:sz w:val="26"/>
          <w:szCs w:val="26"/>
          <w:lang w:eastAsia="zh-CN"/>
        </w:rPr>
      </w:pPr>
      <w:r w:rsidRPr="00AD2C96">
        <w:rPr>
          <w:b/>
          <w:color w:val="002060"/>
          <w:kern w:val="0"/>
          <w:sz w:val="26"/>
          <w:lang w:val="fi-FI" w:bidi="fi-FI"/>
        </w:rPr>
        <w:t xml:space="preserve">BlueEarth </w:t>
      </w:r>
      <w:proofErr w:type="spellStart"/>
      <w:r w:rsidRPr="00AD2C96">
        <w:rPr>
          <w:b/>
          <w:color w:val="002060"/>
          <w:kern w:val="0"/>
          <w:sz w:val="26"/>
          <w:lang w:val="fi-FI" w:bidi="fi-FI"/>
        </w:rPr>
        <w:t>Climate</w:t>
      </w:r>
      <w:proofErr w:type="spellEnd"/>
      <w:r w:rsidRPr="00AD2C96">
        <w:rPr>
          <w:b/>
          <w:color w:val="002060"/>
          <w:kern w:val="0"/>
          <w:sz w:val="26"/>
          <w:lang w:val="fi-FI" w:bidi="fi-FI"/>
        </w:rPr>
        <w:t xml:space="preserve"> </w:t>
      </w:r>
      <w:proofErr w:type="spellStart"/>
      <w:r w:rsidRPr="00AD2C96">
        <w:rPr>
          <w:b/>
          <w:color w:val="002060"/>
          <w:kern w:val="0"/>
          <w:sz w:val="26"/>
          <w:lang w:val="fi-FI" w:bidi="fi-FI"/>
        </w:rPr>
        <w:t>Growth</w:t>
      </w:r>
      <w:proofErr w:type="spellEnd"/>
      <w:r w:rsidRPr="00AD2C96">
        <w:rPr>
          <w:b/>
          <w:color w:val="002060"/>
          <w:kern w:val="0"/>
          <w:sz w:val="26"/>
          <w:lang w:val="fi-FI" w:bidi="fi-FI"/>
        </w:rPr>
        <w:t xml:space="preserve"> Fund I, S.C.A., SICAV-RAIF </w:t>
      </w:r>
    </w:p>
    <w:p w14:paraId="68AD9AFF" w14:textId="77777777" w:rsidR="00E15BBA" w:rsidRPr="008049D2" w:rsidRDefault="00E15BBA" w:rsidP="00F90D49">
      <w:pPr>
        <w:pStyle w:val="Heading1"/>
        <w:numPr>
          <w:ilvl w:val="0"/>
          <w:numId w:val="47"/>
        </w:numPr>
        <w:ind w:left="709"/>
        <w:rPr>
          <w:sz w:val="22"/>
          <w:szCs w:val="22"/>
          <w:lang w:val="en-GB"/>
        </w:rPr>
      </w:pPr>
      <w:r w:rsidRPr="008049D2">
        <w:rPr>
          <w:sz w:val="22"/>
          <w:lang w:val="fi-FI" w:bidi="fi-FI"/>
        </w:rPr>
        <w:t xml:space="preserve">Yhteenveto </w:t>
      </w:r>
    </w:p>
    <w:p w14:paraId="67201249" w14:textId="77777777" w:rsidR="00E15BBA" w:rsidRPr="003A52A0" w:rsidRDefault="00E15BBA" w:rsidP="00E15BBA">
      <w:pPr>
        <w:pStyle w:val="ListParagraph"/>
        <w:spacing w:after="200" w:line="276" w:lineRule="auto"/>
        <w:ind w:left="0"/>
        <w:jc w:val="both"/>
        <w:rPr>
          <w:sz w:val="22"/>
          <w:szCs w:val="22"/>
          <w:lang w:val="fi-FI"/>
        </w:rPr>
      </w:pPr>
      <w:r w:rsidRPr="008049D2">
        <w:rPr>
          <w:sz w:val="22"/>
          <w:lang w:val="fi-FI" w:bidi="fi-FI"/>
        </w:rPr>
        <w:t>Euroopan parlamentin ja neuvoston 27. marraskuuta 2019 antama asetus (EU) 2019/2088 kestävyyteen liittyvien tietojen antamisesta rahoitussektorilla (“</w:t>
      </w:r>
      <w:r w:rsidRPr="008049D2">
        <w:rPr>
          <w:b/>
          <w:sz w:val="22"/>
          <w:lang w:val="fi-FI" w:bidi="fi-FI"/>
        </w:rPr>
        <w:t>SFDR</w:t>
      </w:r>
      <w:r w:rsidRPr="008049D2">
        <w:rPr>
          <w:sz w:val="22"/>
          <w:lang w:val="fi-FI" w:bidi="fi-FI"/>
        </w:rPr>
        <w:t>”) ja asetus (EU) 2020/852 kestävää sijoittamista helpottavasta kehyksestä ja EU-asetuksen 2019/2088 (“</w:t>
      </w:r>
      <w:r w:rsidRPr="008049D2">
        <w:rPr>
          <w:b/>
          <w:sz w:val="22"/>
          <w:lang w:val="fi-FI" w:bidi="fi-FI"/>
        </w:rPr>
        <w:t>taksonomia-asetus</w:t>
      </w:r>
      <w:r w:rsidRPr="008049D2">
        <w:rPr>
          <w:sz w:val="22"/>
          <w:lang w:val="fi-FI" w:bidi="fi-FI"/>
        </w:rPr>
        <w:t>”) muuttamisesta (yhdessä “</w:t>
      </w:r>
      <w:r w:rsidRPr="008049D2">
        <w:rPr>
          <w:b/>
          <w:sz w:val="22"/>
          <w:lang w:val="fi-FI" w:bidi="fi-FI"/>
        </w:rPr>
        <w:t>tiedonantoasetukset</w:t>
      </w:r>
      <w:r w:rsidRPr="008049D2">
        <w:rPr>
          <w:sz w:val="22"/>
          <w:lang w:val="fi-FI" w:bidi="fi-FI"/>
        </w:rPr>
        <w:t>”) pyrkivät tarjoamaan sijoittajille parempaa läpinäkyvyyttä kestävyyttä koskevien riskien huomioon ottamisen, sellaisten sijoitusprosessien haitallisten kestävyysvaikutusten, joita liittyy ympäristöllisten, sosiaalisten ja/tai hallinnollisten tekijöiden (“</w:t>
      </w:r>
      <w:r w:rsidRPr="008049D2">
        <w:rPr>
          <w:b/>
          <w:sz w:val="22"/>
          <w:lang w:val="fi-FI" w:bidi="fi-FI"/>
        </w:rPr>
        <w:t>ESG</w:t>
      </w:r>
      <w:r w:rsidRPr="008049D2">
        <w:rPr>
          <w:sz w:val="22"/>
          <w:lang w:val="fi-FI" w:bidi="fi-FI"/>
        </w:rPr>
        <w:t xml:space="preserve">”) edistämiseen, huomioimisen ja kestävän sijoitustavoitteen osalta. Nimenomaisesti se vaatii rahastonhoitajia ja neuvonantajia antamaan verkkosivuillaan sijoittajille tiettyjä </w:t>
      </w:r>
      <w:proofErr w:type="spellStart"/>
      <w:r w:rsidRPr="008049D2">
        <w:rPr>
          <w:sz w:val="22"/>
          <w:lang w:val="fi-FI" w:bidi="fi-FI"/>
        </w:rPr>
        <w:t>ESG:hen</w:t>
      </w:r>
      <w:proofErr w:type="spellEnd"/>
      <w:r w:rsidRPr="008049D2">
        <w:rPr>
          <w:sz w:val="22"/>
          <w:lang w:val="fi-FI" w:bidi="fi-FI"/>
        </w:rPr>
        <w:t xml:space="preserve"> liittyviä tietoja. </w:t>
      </w:r>
    </w:p>
    <w:p w14:paraId="546A58B4" w14:textId="77777777" w:rsidR="00E15BBA" w:rsidRPr="003A52A0" w:rsidRDefault="00E15BBA" w:rsidP="00E15BBA">
      <w:pPr>
        <w:pStyle w:val="ListParagraph"/>
        <w:spacing w:after="200" w:line="276" w:lineRule="auto"/>
        <w:ind w:left="0"/>
        <w:jc w:val="both"/>
        <w:rPr>
          <w:sz w:val="22"/>
          <w:szCs w:val="22"/>
          <w:lang w:val="fi-FI"/>
        </w:rPr>
      </w:pPr>
    </w:p>
    <w:p w14:paraId="0ED9D799" w14:textId="77777777" w:rsidR="00E15BBA" w:rsidRPr="003A52A0" w:rsidRDefault="00E15BBA" w:rsidP="00E15BBA">
      <w:pPr>
        <w:pStyle w:val="ListParagraph"/>
        <w:spacing w:after="200" w:line="276" w:lineRule="auto"/>
        <w:ind w:left="0"/>
        <w:jc w:val="both"/>
        <w:rPr>
          <w:sz w:val="22"/>
          <w:szCs w:val="22"/>
          <w:lang w:val="fi-FI"/>
        </w:rPr>
      </w:pPr>
      <w:r w:rsidRPr="00E576C1">
        <w:rPr>
          <w:sz w:val="22"/>
          <w:lang w:val="fi-FI" w:bidi="fi-FI"/>
        </w:rPr>
        <w:t>Tiedonantoasetuksia täydentävät EU:n täytäntöönpanotoimenpiteet (ns. sääntely- ja tekniset standardit, “</w:t>
      </w:r>
      <w:r w:rsidRPr="00E576C1">
        <w:rPr>
          <w:b/>
          <w:sz w:val="22"/>
          <w:lang w:val="fi-FI" w:bidi="fi-FI"/>
        </w:rPr>
        <w:t>RTS</w:t>
      </w:r>
      <w:r w:rsidRPr="00E576C1">
        <w:rPr>
          <w:sz w:val="22"/>
          <w:lang w:val="fi-FI" w:bidi="fi-FI"/>
        </w:rPr>
        <w:t xml:space="preserve">”) 1. tammikuuta 2023 alkaen. Kaikki tässä annetut tiedonannot liittyen kestävyyteen perustuvat täten lopulliseen </w:t>
      </w:r>
      <w:proofErr w:type="spellStart"/>
      <w:r w:rsidRPr="00E576C1">
        <w:rPr>
          <w:sz w:val="22"/>
          <w:lang w:val="fi-FI" w:bidi="fi-FI"/>
        </w:rPr>
        <w:t>RTS:ään</w:t>
      </w:r>
      <w:proofErr w:type="spellEnd"/>
      <w:r w:rsidRPr="00E576C1">
        <w:rPr>
          <w:sz w:val="22"/>
          <w:lang w:val="fi-FI" w:bidi="fi-FI"/>
        </w:rPr>
        <w:t xml:space="preserve">, jonka Euroopan valvontaviranomaiset ovat julkaisseet 6. huhtikuuta 2022. </w:t>
      </w:r>
    </w:p>
    <w:p w14:paraId="5630B2C4" w14:textId="77777777" w:rsidR="00E15BBA" w:rsidRPr="003A52A0" w:rsidRDefault="00E15BBA" w:rsidP="00E15BBA">
      <w:pPr>
        <w:pStyle w:val="ListParagraph"/>
        <w:spacing w:after="200" w:line="276" w:lineRule="auto"/>
        <w:ind w:left="0"/>
        <w:jc w:val="both"/>
        <w:rPr>
          <w:sz w:val="22"/>
          <w:szCs w:val="22"/>
          <w:lang w:val="fi-FI"/>
        </w:rPr>
      </w:pPr>
    </w:p>
    <w:p w14:paraId="2546ED29" w14:textId="77777777" w:rsidR="00E15BBA" w:rsidRPr="003A52A0" w:rsidRDefault="00E15BBA" w:rsidP="00E15BBA">
      <w:pPr>
        <w:pStyle w:val="ListParagraph"/>
        <w:spacing w:after="200" w:line="276" w:lineRule="auto"/>
        <w:ind w:left="0"/>
        <w:jc w:val="both"/>
        <w:rPr>
          <w:sz w:val="22"/>
          <w:szCs w:val="22"/>
          <w:lang w:val="fi-FI"/>
        </w:rPr>
      </w:pPr>
      <w:r w:rsidRPr="00AD2C96">
        <w:rPr>
          <w:sz w:val="22"/>
          <w:lang w:val="fi-FI" w:bidi="fi-FI"/>
        </w:rPr>
        <w:t>BLUEEARTH CLIMATE GROWTH FUND I, S.C.A., SICAV-RAIF (“</w:t>
      </w:r>
      <w:r w:rsidRPr="00AD2C96">
        <w:rPr>
          <w:b/>
          <w:sz w:val="22"/>
          <w:lang w:val="fi-FI" w:bidi="fi-FI"/>
        </w:rPr>
        <w:t>rahasto</w:t>
      </w:r>
      <w:r w:rsidRPr="00AD2C96">
        <w:rPr>
          <w:sz w:val="22"/>
          <w:lang w:val="fi-FI" w:bidi="fi-FI"/>
        </w:rPr>
        <w:t>”) perustetaan pääomasijoitusten tekemistä varten. Rahastoa hoitaa sen vaihtoehtoisen sijoitusrahaston hoitaja, Alter Domus Management Company S.A.</w:t>
      </w:r>
      <w:r>
        <w:rPr>
          <w:sz w:val="22"/>
          <w:lang w:val="fi-FI" w:bidi="fi-FI"/>
        </w:rPr>
        <w:t xml:space="preserve"> </w:t>
      </w:r>
      <w:r w:rsidRPr="00AD2C96">
        <w:rPr>
          <w:sz w:val="22"/>
          <w:lang w:val="fi-FI" w:bidi="fi-FI"/>
        </w:rPr>
        <w:t>(“</w:t>
      </w:r>
      <w:r w:rsidRPr="00AD2C96">
        <w:rPr>
          <w:b/>
          <w:sz w:val="22"/>
          <w:lang w:val="fi-FI" w:bidi="fi-FI"/>
        </w:rPr>
        <w:t>rahastonhoitaja</w:t>
      </w:r>
      <w:r w:rsidRPr="00AD2C96">
        <w:rPr>
          <w:sz w:val="22"/>
          <w:lang w:val="fi-FI" w:bidi="fi-FI"/>
        </w:rPr>
        <w:t>”). Blue Earth Capital AG toimii rahastonhoitajan neuvonantajana (“</w:t>
      </w:r>
      <w:r w:rsidRPr="00AD2C96">
        <w:rPr>
          <w:b/>
          <w:sz w:val="22"/>
          <w:lang w:val="fi-FI" w:bidi="fi-FI"/>
        </w:rPr>
        <w:t>neuvonantaja</w:t>
      </w:r>
      <w:r w:rsidRPr="00AD2C96">
        <w:rPr>
          <w:sz w:val="22"/>
          <w:lang w:val="fi-FI" w:bidi="fi-FI"/>
        </w:rPr>
        <w:t>”). Alla olevat rahastonhoitajan toimittamat tiedot perustuvat neuvonantajan neuvoihin, tietoihin ja suosituksiin. Rahaston kestävän sijoitustavoitteen saavuttamiseksi rahastonhoitaja on sitoutunut sijoittamaan vastuullisesti ottaen ESG-näkökohdat aktiivisesti huomioon sijoituskohteiden valinnassa ja jatkuvassa valvontaprosessissa.</w:t>
      </w:r>
    </w:p>
    <w:p w14:paraId="2D04FD36" w14:textId="77777777" w:rsidR="00E15BBA" w:rsidRPr="003A52A0" w:rsidRDefault="00E15BBA" w:rsidP="00E15BBA">
      <w:pPr>
        <w:pStyle w:val="ListParagraph"/>
        <w:spacing w:after="200" w:line="276" w:lineRule="auto"/>
        <w:ind w:left="0"/>
        <w:jc w:val="both"/>
        <w:rPr>
          <w:sz w:val="22"/>
          <w:szCs w:val="22"/>
          <w:lang w:val="fi-FI"/>
        </w:rPr>
      </w:pPr>
    </w:p>
    <w:p w14:paraId="3372C6C0" w14:textId="77777777" w:rsidR="00E15BBA" w:rsidRPr="003A52A0" w:rsidRDefault="00E15BBA" w:rsidP="00E15BBA">
      <w:pPr>
        <w:pStyle w:val="ListParagraph"/>
        <w:spacing w:after="200" w:line="276" w:lineRule="auto"/>
        <w:ind w:left="0"/>
        <w:jc w:val="both"/>
        <w:rPr>
          <w:sz w:val="22"/>
          <w:szCs w:val="22"/>
          <w:lang w:val="fi-FI"/>
        </w:rPr>
      </w:pPr>
      <w:r w:rsidRPr="006A147A">
        <w:rPr>
          <w:sz w:val="22"/>
          <w:lang w:val="fi-FI" w:bidi="fi-FI"/>
        </w:rPr>
        <w:t>Rahaston kestävä sijoitustavoite on edistää toimia, joilla pyritään kiihdyttämään siirtymää nollapäästöihin, parantamaan yhteiskunnan sietokykyä ilmastonmuutoksen suhteen ja tukemaan resurssitehokkuutta. Rahasto ottaa huomioon pääasialliset haitalliset kestävyysvaikutukset (“</w:t>
      </w:r>
      <w:r w:rsidRPr="006A147A">
        <w:rPr>
          <w:b/>
          <w:sz w:val="22"/>
          <w:lang w:val="fi-FI" w:bidi="fi-FI"/>
        </w:rPr>
        <w:t>PASI</w:t>
      </w:r>
      <w:r w:rsidRPr="006A147A">
        <w:rPr>
          <w:sz w:val="22"/>
          <w:lang w:val="fi-FI" w:bidi="fi-FI"/>
        </w:rPr>
        <w:t xml:space="preserve">”), jotka on määritelty </w:t>
      </w:r>
      <w:proofErr w:type="spellStart"/>
      <w:r w:rsidRPr="006A147A">
        <w:rPr>
          <w:sz w:val="22"/>
          <w:lang w:val="fi-FI" w:bidi="fi-FI"/>
        </w:rPr>
        <w:t>SFDR:ssä</w:t>
      </w:r>
      <w:proofErr w:type="spellEnd"/>
      <w:r w:rsidRPr="006A147A">
        <w:rPr>
          <w:sz w:val="22"/>
          <w:lang w:val="fi-FI" w:bidi="fi-FI"/>
        </w:rPr>
        <w:t xml:space="preserve"> ja dokumentoitu </w:t>
      </w:r>
      <w:proofErr w:type="spellStart"/>
      <w:r w:rsidRPr="006A147A">
        <w:rPr>
          <w:sz w:val="22"/>
          <w:lang w:val="fi-FI" w:bidi="fi-FI"/>
        </w:rPr>
        <w:t>RTS:n</w:t>
      </w:r>
      <w:proofErr w:type="spellEnd"/>
      <w:r w:rsidRPr="006A147A">
        <w:rPr>
          <w:sz w:val="22"/>
          <w:lang w:val="fi-FI" w:bidi="fi-FI"/>
        </w:rPr>
        <w:t xml:space="preserve"> liitteessä I. Rahastonhoitaja suorittaa PASI-indikaattoreiden alkuarvioinnin osana kunkin sijoituskohteen osalta tehtävää </w:t>
      </w:r>
      <w:proofErr w:type="spellStart"/>
      <w:r w:rsidRPr="006A147A">
        <w:rPr>
          <w:sz w:val="22"/>
          <w:lang w:val="fi-FI" w:bidi="fi-FI"/>
        </w:rPr>
        <w:t>ESG:n</w:t>
      </w:r>
      <w:proofErr w:type="spellEnd"/>
      <w:r w:rsidRPr="006A147A">
        <w:rPr>
          <w:sz w:val="22"/>
          <w:lang w:val="fi-FI" w:bidi="fi-FI"/>
        </w:rPr>
        <w:t xml:space="preserve"> </w:t>
      </w:r>
      <w:proofErr w:type="spellStart"/>
      <w:r w:rsidRPr="006A147A">
        <w:rPr>
          <w:sz w:val="22"/>
          <w:lang w:val="fi-FI" w:bidi="fi-FI"/>
        </w:rPr>
        <w:t>due</w:t>
      </w:r>
      <w:proofErr w:type="spellEnd"/>
      <w:r w:rsidRPr="006A147A">
        <w:rPr>
          <w:sz w:val="22"/>
          <w:lang w:val="fi-FI" w:bidi="fi-FI"/>
        </w:rPr>
        <w:t xml:space="preserve"> </w:t>
      </w:r>
      <w:proofErr w:type="spellStart"/>
      <w:r w:rsidRPr="006A147A">
        <w:rPr>
          <w:sz w:val="22"/>
          <w:lang w:val="fi-FI" w:bidi="fi-FI"/>
        </w:rPr>
        <w:t>diligence</w:t>
      </w:r>
      <w:proofErr w:type="spellEnd"/>
      <w:r w:rsidRPr="006A147A">
        <w:rPr>
          <w:sz w:val="22"/>
          <w:lang w:val="fi-FI" w:bidi="fi-FI"/>
        </w:rPr>
        <w:t xml:space="preserve"> -menettelyä.</w:t>
      </w:r>
      <w:r>
        <w:rPr>
          <w:sz w:val="22"/>
          <w:lang w:val="fi-FI" w:bidi="fi-FI"/>
        </w:rPr>
        <w:t xml:space="preserve"> </w:t>
      </w:r>
      <w:r w:rsidRPr="006A147A">
        <w:rPr>
          <w:sz w:val="22"/>
          <w:lang w:val="fi-FI" w:bidi="fi-FI"/>
        </w:rPr>
        <w:t>Lisäksi rahasto hyödyntää kattavaa vaikutusarviointia, joka sisältää riskitekijäanalyysin IMP-</w:t>
      </w:r>
      <w:r>
        <w:rPr>
          <w:rStyle w:val="FootnoteReference"/>
          <w:sz w:val="22"/>
          <w:lang w:val="fi-FI" w:bidi="fi-FI"/>
        </w:rPr>
        <w:footnoteReference w:id="8"/>
      </w:r>
      <w:r w:rsidRPr="006A147A">
        <w:rPr>
          <w:sz w:val="22"/>
          <w:lang w:val="fi-FI" w:bidi="fi-FI"/>
        </w:rPr>
        <w:t xml:space="preserve">menettelyn mukaisesti. </w:t>
      </w:r>
    </w:p>
    <w:p w14:paraId="553F8E30" w14:textId="77777777" w:rsidR="00E15BBA" w:rsidRPr="003A52A0" w:rsidRDefault="00E15BBA" w:rsidP="00E15BBA">
      <w:pPr>
        <w:pStyle w:val="ListParagraph"/>
        <w:spacing w:after="200" w:line="276" w:lineRule="auto"/>
        <w:ind w:left="0"/>
        <w:jc w:val="both"/>
        <w:rPr>
          <w:sz w:val="22"/>
          <w:szCs w:val="22"/>
          <w:lang w:val="fi-FI"/>
        </w:rPr>
      </w:pPr>
    </w:p>
    <w:p w14:paraId="023EAA7F" w14:textId="77777777" w:rsidR="00E15BBA" w:rsidRPr="003A52A0" w:rsidRDefault="00E15BBA" w:rsidP="00E15BBA">
      <w:pPr>
        <w:pStyle w:val="ListParagraph"/>
        <w:spacing w:after="200" w:line="276" w:lineRule="auto"/>
        <w:ind w:left="0"/>
        <w:jc w:val="both"/>
        <w:rPr>
          <w:sz w:val="22"/>
          <w:szCs w:val="22"/>
          <w:lang w:val="fi-FI"/>
        </w:rPr>
      </w:pPr>
      <w:r w:rsidRPr="006F3874">
        <w:rPr>
          <w:sz w:val="22"/>
          <w:lang w:val="fi-FI" w:bidi="fi-FI"/>
        </w:rPr>
        <w:t xml:space="preserve">Rahastolla on yksityisten markkinoiden strategia, jonka pyrkimyksenä on tuottaa positiivista taloudellista tuottoa ja saavuttaa positiivinen vaikutus ilmastoon. Rahaston tavoitteena on sijoittaa ympäristöön liittyviin varoihin, jotka on määritetty kestäviksi sijoituskohteiksi </w:t>
      </w:r>
      <w:proofErr w:type="spellStart"/>
      <w:r w:rsidRPr="006F3874">
        <w:rPr>
          <w:sz w:val="22"/>
          <w:lang w:val="fi-FI" w:bidi="fi-FI"/>
        </w:rPr>
        <w:t>SFDR:n</w:t>
      </w:r>
      <w:proofErr w:type="spellEnd"/>
      <w:r w:rsidRPr="006F3874">
        <w:rPr>
          <w:sz w:val="22"/>
          <w:lang w:val="fi-FI" w:bidi="fi-FI"/>
        </w:rPr>
        <w:t xml:space="preserve"> mukaisesti. Näiden tavoitteiden saavuttamiseksi rahasto ottaa vaikutuksia koskevat näkökohdat huomioon sijoitusten koko elinkaaren aikana, mukaan lukien ensiluokkaiset vaikutusarviointi- ja ilmoitusmenettelyt.</w:t>
      </w:r>
    </w:p>
    <w:p w14:paraId="391F828F" w14:textId="77777777" w:rsidR="00E15BBA" w:rsidRPr="003A52A0" w:rsidRDefault="00E15BBA" w:rsidP="00E15BBA">
      <w:pPr>
        <w:pStyle w:val="ListParagraph"/>
        <w:spacing w:after="200" w:line="276" w:lineRule="auto"/>
        <w:ind w:left="0"/>
        <w:jc w:val="both"/>
        <w:rPr>
          <w:sz w:val="22"/>
          <w:szCs w:val="22"/>
          <w:lang w:val="fi-FI"/>
        </w:rPr>
      </w:pPr>
    </w:p>
    <w:p w14:paraId="08E0792D" w14:textId="77777777" w:rsidR="00E15BBA" w:rsidRPr="003A52A0" w:rsidRDefault="00E15BBA" w:rsidP="00E15BBA">
      <w:pPr>
        <w:pStyle w:val="ListParagraph"/>
        <w:spacing w:after="200" w:line="276" w:lineRule="auto"/>
        <w:ind w:left="0"/>
        <w:jc w:val="both"/>
        <w:rPr>
          <w:sz w:val="22"/>
          <w:szCs w:val="22"/>
          <w:lang w:val="fi-FI"/>
        </w:rPr>
      </w:pPr>
      <w:r w:rsidRPr="006F3874">
        <w:rPr>
          <w:sz w:val="22"/>
          <w:lang w:val="fi-FI" w:bidi="fi-FI"/>
        </w:rPr>
        <w:t xml:space="preserve">Rahastonhoitaja sijoittaa sellaisten houkuttelevien yritysten kasvuun, joilla on todistetusti toimiva liiketoimintamalli ja korkea </w:t>
      </w:r>
      <w:proofErr w:type="gramStart"/>
      <w:r w:rsidRPr="006F3874">
        <w:rPr>
          <w:sz w:val="22"/>
          <w:lang w:val="fi-FI" w:bidi="fi-FI"/>
        </w:rPr>
        <w:t>kehityspotentiaali</w:t>
      </w:r>
      <w:proofErr w:type="gramEnd"/>
      <w:r w:rsidRPr="006F3874">
        <w:rPr>
          <w:sz w:val="22"/>
          <w:lang w:val="fi-FI" w:bidi="fi-FI"/>
        </w:rPr>
        <w:t xml:space="preserve"> ja joiden ilmastovaikutukset ovat mitattavissa ja skaalattavissa. Rahasto sijoittaa seuraaviin olennaisiin teemoihin merkityksellisten ilmastovaikutusten aikaansaamiseksi: energiasiirtymän ekosysteemi; rakennukset ja liikkuminen; ilmastotietämys; tuotanto ja kulutus; ruoka ja maatalous. Sijoitusstrategiat on määritetty kullekin ensisijaiselle alalle liiketoimintamallin pitkän aikavälin kannattavuuden, kasvun-/arvonluomismahdollisuuksien sekä vaikutuksen skaalan ja syvyyden perusteella.</w:t>
      </w:r>
    </w:p>
    <w:p w14:paraId="269579EF" w14:textId="77777777" w:rsidR="00E15BBA" w:rsidRPr="003A52A0" w:rsidRDefault="00E15BBA" w:rsidP="00E15BBA">
      <w:pPr>
        <w:pStyle w:val="ListParagraph"/>
        <w:spacing w:after="200" w:line="276" w:lineRule="auto"/>
        <w:ind w:left="0"/>
        <w:jc w:val="both"/>
        <w:rPr>
          <w:sz w:val="22"/>
          <w:szCs w:val="22"/>
          <w:lang w:val="fi-FI"/>
        </w:rPr>
      </w:pPr>
    </w:p>
    <w:p w14:paraId="4F737D58" w14:textId="77777777" w:rsidR="00E15BBA" w:rsidRPr="003A52A0" w:rsidRDefault="00E15BBA" w:rsidP="00E15BBA">
      <w:pPr>
        <w:pStyle w:val="ListParagraph"/>
        <w:spacing w:after="200" w:line="276" w:lineRule="auto"/>
        <w:ind w:left="0"/>
        <w:jc w:val="both"/>
        <w:rPr>
          <w:sz w:val="22"/>
          <w:szCs w:val="22"/>
          <w:lang w:val="fi-FI"/>
        </w:rPr>
      </w:pPr>
      <w:r>
        <w:rPr>
          <w:sz w:val="22"/>
          <w:lang w:val="fi-FI" w:bidi="fi-FI"/>
        </w:rPr>
        <w:t xml:space="preserve">Rahasto sijoittaa (i) 90 % ympäristöllisesti kestäviin sijoituskohteisiin ja (ii) 10 % muihin sijoituskohteisiin, jotka koostuvat tehokkaaseen likviditeetin, salkun ja kustannusten hallintaan käytettävästä käteisestä. Käteinen vaihtelee jatkuvasti, eikä se vaikuta rahaston kestävään tavoitteeseen. </w:t>
      </w:r>
    </w:p>
    <w:p w14:paraId="1C9C89AA" w14:textId="77777777" w:rsidR="00E15BBA" w:rsidRPr="003A52A0" w:rsidRDefault="00E15BBA" w:rsidP="00E15BBA">
      <w:pPr>
        <w:pStyle w:val="ListParagraph"/>
        <w:spacing w:after="200" w:line="276" w:lineRule="auto"/>
        <w:ind w:left="0"/>
        <w:jc w:val="both"/>
        <w:rPr>
          <w:sz w:val="22"/>
          <w:szCs w:val="22"/>
          <w:lang w:val="fi-FI"/>
        </w:rPr>
      </w:pPr>
    </w:p>
    <w:p w14:paraId="3C59F96D" w14:textId="77777777" w:rsidR="00E15BBA" w:rsidRPr="003A52A0" w:rsidRDefault="00E15BBA" w:rsidP="00E15BBA">
      <w:pPr>
        <w:pStyle w:val="ListParagraph"/>
        <w:spacing w:after="200" w:line="276" w:lineRule="auto"/>
        <w:ind w:left="0"/>
        <w:jc w:val="both"/>
        <w:rPr>
          <w:sz w:val="22"/>
          <w:szCs w:val="22"/>
          <w:lang w:val="fi-FI"/>
        </w:rPr>
      </w:pPr>
      <w:r w:rsidRPr="00A621D8">
        <w:rPr>
          <w:sz w:val="22"/>
          <w:lang w:val="fi-FI" w:bidi="fi-FI"/>
        </w:rPr>
        <w:t xml:space="preserve">Rahastonhoitaja tekee laadullisen arvioinnin kestävyysindikaattoreista säännöllisesti, valvoo aktiivisesti kestävyysindikaattoreita ja </w:t>
      </w:r>
      <w:proofErr w:type="spellStart"/>
      <w:r w:rsidRPr="00A621D8">
        <w:rPr>
          <w:sz w:val="22"/>
          <w:lang w:val="fi-FI" w:bidi="fi-FI"/>
        </w:rPr>
        <w:t>ESG:hen</w:t>
      </w:r>
      <w:proofErr w:type="spellEnd"/>
      <w:r w:rsidRPr="00A621D8">
        <w:rPr>
          <w:sz w:val="22"/>
          <w:lang w:val="fi-FI" w:bidi="fi-FI"/>
        </w:rPr>
        <w:t xml:space="preserve"> liittyviä tapahtumia ja tarkistaa </w:t>
      </w:r>
      <w:proofErr w:type="spellStart"/>
      <w:r w:rsidRPr="00A621D8">
        <w:rPr>
          <w:sz w:val="22"/>
          <w:lang w:val="fi-FI" w:bidi="fi-FI"/>
        </w:rPr>
        <w:t>ESG:n</w:t>
      </w:r>
      <w:proofErr w:type="spellEnd"/>
      <w:r w:rsidRPr="00A621D8">
        <w:rPr>
          <w:sz w:val="22"/>
          <w:lang w:val="fi-FI" w:bidi="fi-FI"/>
        </w:rPr>
        <w:t xml:space="preserve"> edistymisen vuosittain.</w:t>
      </w:r>
    </w:p>
    <w:p w14:paraId="62C2AD0D" w14:textId="77777777" w:rsidR="00E15BBA" w:rsidRPr="003A52A0" w:rsidRDefault="00E15BBA" w:rsidP="00E15BBA">
      <w:pPr>
        <w:pStyle w:val="ListParagraph"/>
        <w:spacing w:after="200" w:line="276" w:lineRule="auto"/>
        <w:ind w:left="0"/>
        <w:jc w:val="both"/>
        <w:rPr>
          <w:sz w:val="22"/>
          <w:szCs w:val="22"/>
          <w:lang w:val="fi-FI"/>
        </w:rPr>
      </w:pPr>
    </w:p>
    <w:p w14:paraId="6175BF7C" w14:textId="77777777" w:rsidR="00E15BBA" w:rsidRPr="003A52A0" w:rsidRDefault="00E15BBA" w:rsidP="00E15BBA">
      <w:pPr>
        <w:pStyle w:val="ListParagraph"/>
        <w:spacing w:after="200" w:line="276" w:lineRule="auto"/>
        <w:ind w:left="0"/>
        <w:jc w:val="both"/>
        <w:rPr>
          <w:sz w:val="22"/>
          <w:szCs w:val="22"/>
          <w:lang w:val="fi-FI"/>
        </w:rPr>
      </w:pPr>
      <w:r>
        <w:rPr>
          <w:sz w:val="22"/>
          <w:lang w:val="fi-FI" w:bidi="fi-FI"/>
        </w:rPr>
        <w:t xml:space="preserve">Rahastonhoitajan vaikutus- ja ESG-arviointi- ja hoitomenettelyt perustuvat seuraaviin työkaluihin: (1) </w:t>
      </w:r>
      <w:proofErr w:type="spellStart"/>
      <w:r>
        <w:rPr>
          <w:sz w:val="22"/>
          <w:lang w:val="fi-FI" w:bidi="fi-FI"/>
        </w:rPr>
        <w:t>Impact</w:t>
      </w:r>
      <w:proofErr w:type="spellEnd"/>
      <w:r>
        <w:rPr>
          <w:sz w:val="22"/>
          <w:lang w:val="fi-FI" w:bidi="fi-FI"/>
        </w:rPr>
        <w:t xml:space="preserve"> Management Project, (2) looginen malli (“muutosteoria”), (3) Yhdistyneiden kansakuntien kestävän kehityksen tavoitteet, (4) IRIS-mittarit, ja </w:t>
      </w:r>
      <w:proofErr w:type="spellStart"/>
      <w:r>
        <w:rPr>
          <w:sz w:val="22"/>
          <w:lang w:val="fi-FI" w:bidi="fi-FI"/>
        </w:rPr>
        <w:t>ESG:n</w:t>
      </w:r>
      <w:proofErr w:type="spellEnd"/>
      <w:r>
        <w:rPr>
          <w:sz w:val="22"/>
          <w:lang w:val="fi-FI" w:bidi="fi-FI"/>
        </w:rPr>
        <w:t xml:space="preserve"> </w:t>
      </w:r>
      <w:proofErr w:type="spellStart"/>
      <w:r>
        <w:rPr>
          <w:sz w:val="22"/>
          <w:lang w:val="fi-FI" w:bidi="fi-FI"/>
        </w:rPr>
        <w:t>due</w:t>
      </w:r>
      <w:proofErr w:type="spellEnd"/>
      <w:r>
        <w:rPr>
          <w:sz w:val="22"/>
          <w:lang w:val="fi-FI" w:bidi="fi-FI"/>
        </w:rPr>
        <w:t xml:space="preserve"> </w:t>
      </w:r>
      <w:proofErr w:type="spellStart"/>
      <w:r>
        <w:rPr>
          <w:sz w:val="22"/>
          <w:lang w:val="fi-FI" w:bidi="fi-FI"/>
        </w:rPr>
        <w:t>diligence</w:t>
      </w:r>
      <w:proofErr w:type="spellEnd"/>
      <w:r>
        <w:rPr>
          <w:sz w:val="22"/>
          <w:lang w:val="fi-FI" w:bidi="fi-FI"/>
        </w:rPr>
        <w:t xml:space="preserve"> -työkalut.</w:t>
      </w:r>
    </w:p>
    <w:p w14:paraId="7D3FEA3C" w14:textId="77777777" w:rsidR="00E15BBA" w:rsidRPr="003A52A0" w:rsidRDefault="00E15BBA" w:rsidP="00E15BBA">
      <w:pPr>
        <w:pStyle w:val="ListParagraph"/>
        <w:spacing w:after="200" w:line="276" w:lineRule="auto"/>
        <w:ind w:left="0"/>
        <w:jc w:val="both"/>
        <w:rPr>
          <w:sz w:val="22"/>
          <w:szCs w:val="22"/>
          <w:lang w:val="fi-FI"/>
        </w:rPr>
      </w:pPr>
    </w:p>
    <w:p w14:paraId="1809F91C" w14:textId="77777777" w:rsidR="00E15BBA" w:rsidRPr="003A52A0" w:rsidRDefault="00E15BBA" w:rsidP="00E15BBA">
      <w:pPr>
        <w:pStyle w:val="ListParagraph"/>
        <w:spacing w:after="200" w:line="276" w:lineRule="auto"/>
        <w:ind w:left="0"/>
        <w:jc w:val="both"/>
        <w:rPr>
          <w:sz w:val="22"/>
          <w:szCs w:val="22"/>
          <w:lang w:val="fi-FI"/>
        </w:rPr>
      </w:pPr>
      <w:r>
        <w:rPr>
          <w:sz w:val="22"/>
          <w:lang w:val="fi-FI" w:bidi="fi-FI"/>
        </w:rPr>
        <w:t xml:space="preserve">Ennen kuin sijoituskohteet valitaan, niille tehdään useita arviointeja sijoitusten elinkaaren aikana (sijoituskohteiden etsimisestä ja </w:t>
      </w:r>
      <w:proofErr w:type="spellStart"/>
      <w:r>
        <w:rPr>
          <w:sz w:val="22"/>
          <w:lang w:val="fi-FI" w:bidi="fi-FI"/>
        </w:rPr>
        <w:t>due</w:t>
      </w:r>
      <w:proofErr w:type="spellEnd"/>
      <w:r>
        <w:rPr>
          <w:sz w:val="22"/>
          <w:lang w:val="fi-FI" w:bidi="fi-FI"/>
        </w:rPr>
        <w:t xml:space="preserve"> </w:t>
      </w:r>
      <w:proofErr w:type="spellStart"/>
      <w:r>
        <w:rPr>
          <w:sz w:val="22"/>
          <w:lang w:val="fi-FI" w:bidi="fi-FI"/>
        </w:rPr>
        <w:t>diligence</w:t>
      </w:r>
      <w:proofErr w:type="spellEnd"/>
      <w:r>
        <w:rPr>
          <w:sz w:val="22"/>
          <w:lang w:val="fi-FI" w:bidi="fi-FI"/>
        </w:rPr>
        <w:t xml:space="preserve"> -menettelystä päätökseen saakka). Arvioinnit koskevat sijoituskohteiden kykyä tuottaa ympäristöllisiä ja sosiaalisia vaikutuksia, jotka vastaavat rahaston mandaatteja ja kestävää sijoitustavoitetta.</w:t>
      </w:r>
    </w:p>
    <w:p w14:paraId="51A65DA5" w14:textId="77777777" w:rsidR="00E15BBA" w:rsidRPr="003A52A0" w:rsidRDefault="00E15BBA" w:rsidP="00E15BBA">
      <w:pPr>
        <w:pStyle w:val="ListParagraph"/>
        <w:spacing w:after="200" w:line="276" w:lineRule="auto"/>
        <w:ind w:left="0"/>
        <w:jc w:val="both"/>
        <w:rPr>
          <w:sz w:val="22"/>
          <w:szCs w:val="22"/>
          <w:lang w:val="fi-FI"/>
        </w:rPr>
      </w:pPr>
    </w:p>
    <w:p w14:paraId="76635ECD" w14:textId="77777777" w:rsidR="00E15BBA" w:rsidRPr="003A52A0" w:rsidRDefault="00E15BBA" w:rsidP="00E15BBA">
      <w:pPr>
        <w:pStyle w:val="ListParagraph"/>
        <w:spacing w:after="200" w:line="276" w:lineRule="auto"/>
        <w:ind w:left="0"/>
        <w:jc w:val="both"/>
        <w:rPr>
          <w:sz w:val="22"/>
          <w:szCs w:val="22"/>
          <w:lang w:val="fi-FI"/>
        </w:rPr>
      </w:pPr>
      <w:r w:rsidRPr="008049D2">
        <w:rPr>
          <w:sz w:val="22"/>
          <w:lang w:val="fi-FI" w:bidi="fi-FI"/>
        </w:rPr>
        <w:t>Rahasto noudattaa aktiivista sijoitusstrategiaa, eikä sijoituksia tehtäessä käytetä tai aiota käyttää viitteenä mitään indeksiä.</w:t>
      </w:r>
    </w:p>
    <w:p w14:paraId="5D38D2D6" w14:textId="77777777" w:rsidR="00E15BBA" w:rsidRPr="003A52A0" w:rsidRDefault="00E15BBA" w:rsidP="00E15BBA">
      <w:pPr>
        <w:pStyle w:val="ListParagraph"/>
        <w:rPr>
          <w:sz w:val="22"/>
          <w:szCs w:val="22"/>
          <w:lang w:val="fi-FI"/>
        </w:rPr>
      </w:pPr>
    </w:p>
    <w:p w14:paraId="67FD3907" w14:textId="77777777" w:rsidR="00E15BBA" w:rsidRPr="003A52A0" w:rsidRDefault="00E15BBA" w:rsidP="00E15BBA">
      <w:pPr>
        <w:pStyle w:val="ListParagraph"/>
        <w:rPr>
          <w:sz w:val="22"/>
          <w:szCs w:val="22"/>
          <w:lang w:val="fi-FI"/>
        </w:rPr>
      </w:pPr>
    </w:p>
    <w:p w14:paraId="7881A0D9" w14:textId="77777777" w:rsidR="00E15BBA" w:rsidRPr="00060CDD" w:rsidRDefault="00E15BBA" w:rsidP="00E15BBA">
      <w:pPr>
        <w:pStyle w:val="ListParagraph"/>
        <w:rPr>
          <w:sz w:val="22"/>
          <w:szCs w:val="22"/>
          <w:lang w:val="fi-FI"/>
        </w:rPr>
      </w:pPr>
    </w:p>
    <w:p w14:paraId="2004A6D6" w14:textId="77777777" w:rsidR="00E15BBA" w:rsidRPr="00060CDD" w:rsidRDefault="00E15BBA" w:rsidP="00E15BBA">
      <w:pPr>
        <w:pStyle w:val="ListParagraph"/>
        <w:rPr>
          <w:sz w:val="22"/>
          <w:szCs w:val="22"/>
          <w:lang w:val="fi-FI"/>
        </w:rPr>
      </w:pPr>
      <w:r w:rsidRPr="00060CDD">
        <w:rPr>
          <w:sz w:val="22"/>
          <w:szCs w:val="22"/>
          <w:lang w:val="fi-FI"/>
        </w:rPr>
        <w:br w:type="page"/>
      </w:r>
    </w:p>
    <w:p w14:paraId="6D8118E9" w14:textId="1C7ED188" w:rsidR="00E15BBA" w:rsidRDefault="00DE6F43" w:rsidP="00E15BBA">
      <w:pPr>
        <w:pStyle w:val="Body"/>
        <w:spacing w:after="60"/>
        <w:jc w:val="left"/>
        <w:rPr>
          <w:b/>
          <w:i/>
          <w:iCs/>
          <w:color w:val="A6A6A6" w:themeColor="background1" w:themeShade="A6"/>
          <w:kern w:val="0"/>
          <w:sz w:val="26"/>
          <w:lang w:val="en-US" w:bidi="de-DE"/>
        </w:rPr>
      </w:pPr>
      <w:r>
        <w:rPr>
          <w:b/>
          <w:i/>
          <w:iCs/>
          <w:color w:val="A6A6A6" w:themeColor="background1" w:themeShade="A6"/>
          <w:kern w:val="0"/>
          <w:sz w:val="26"/>
          <w:lang w:val="en-US" w:bidi="de-DE"/>
        </w:rPr>
        <w:lastRenderedPageBreak/>
        <w:t xml:space="preserve">Annex 5: </w:t>
      </w:r>
      <w:r w:rsidR="00E15BBA">
        <w:rPr>
          <w:b/>
          <w:i/>
          <w:iCs/>
          <w:color w:val="A6A6A6" w:themeColor="background1" w:themeShade="A6"/>
          <w:kern w:val="0"/>
          <w:sz w:val="26"/>
          <w:lang w:val="en-US" w:bidi="de-DE"/>
        </w:rPr>
        <w:t>Italian</w:t>
      </w:r>
      <w:r w:rsidR="00E15BBA" w:rsidRPr="00A8627F">
        <w:rPr>
          <w:b/>
          <w:i/>
          <w:iCs/>
          <w:color w:val="A6A6A6" w:themeColor="background1" w:themeShade="A6"/>
          <w:kern w:val="0"/>
          <w:sz w:val="26"/>
          <w:lang w:val="en-US" w:bidi="de-DE"/>
        </w:rPr>
        <w:t xml:space="preserve"> translation</w:t>
      </w:r>
      <w:r w:rsidR="00E15BBA">
        <w:rPr>
          <w:b/>
          <w:i/>
          <w:iCs/>
          <w:color w:val="A6A6A6" w:themeColor="background1" w:themeShade="A6"/>
          <w:kern w:val="0"/>
          <w:sz w:val="26"/>
          <w:lang w:val="en-US" w:bidi="de-DE"/>
        </w:rPr>
        <w:t>, the English version prevails</w:t>
      </w:r>
    </w:p>
    <w:p w14:paraId="48390BD9" w14:textId="77777777" w:rsidR="00F90D49" w:rsidRDefault="00F90D49" w:rsidP="00E15BBA">
      <w:pPr>
        <w:pStyle w:val="Body"/>
        <w:spacing w:after="60"/>
        <w:jc w:val="left"/>
        <w:rPr>
          <w:b/>
          <w:i/>
          <w:iCs/>
          <w:color w:val="A6A6A6" w:themeColor="background1" w:themeShade="A6"/>
          <w:kern w:val="0"/>
          <w:sz w:val="26"/>
          <w:lang w:val="en-US" w:bidi="de-DE"/>
        </w:rPr>
      </w:pPr>
    </w:p>
    <w:p w14:paraId="0CA59331" w14:textId="77777777" w:rsidR="00E15BBA" w:rsidRPr="00EC5C85" w:rsidRDefault="00E15BBA" w:rsidP="00E15BBA">
      <w:pPr>
        <w:pStyle w:val="Body"/>
        <w:spacing w:after="60"/>
        <w:jc w:val="center"/>
        <w:rPr>
          <w:rFonts w:ascii="Lato" w:eastAsiaTheme="minorEastAsia" w:hAnsi="Lato"/>
          <w:b/>
          <w:bCs/>
          <w:color w:val="002060"/>
          <w:kern w:val="0"/>
          <w:sz w:val="26"/>
          <w:szCs w:val="26"/>
          <w:lang w:eastAsia="zh-CN"/>
        </w:rPr>
      </w:pPr>
      <w:r w:rsidRPr="006F084A">
        <w:rPr>
          <w:rFonts w:ascii="Lato" w:hAnsi="Lato"/>
          <w:b/>
          <w:color w:val="002060"/>
          <w:kern w:val="0"/>
          <w:sz w:val="26"/>
          <w:lang w:val="en-US" w:bidi="it-IT"/>
        </w:rPr>
        <w:t xml:space="preserve">BlueEarth Climate Growth Fund I, S.C.A., SICAV-RAIF </w:t>
      </w:r>
    </w:p>
    <w:p w14:paraId="470C6BAF" w14:textId="77777777" w:rsidR="00E15BBA" w:rsidRPr="008049D2" w:rsidRDefault="00E15BBA" w:rsidP="00F90D49">
      <w:pPr>
        <w:pStyle w:val="Heading1"/>
        <w:numPr>
          <w:ilvl w:val="0"/>
          <w:numId w:val="48"/>
        </w:numPr>
        <w:ind w:left="709"/>
        <w:rPr>
          <w:sz w:val="22"/>
          <w:szCs w:val="22"/>
          <w:lang w:val="en-GB"/>
        </w:rPr>
      </w:pPr>
      <w:r w:rsidRPr="008049D2">
        <w:rPr>
          <w:sz w:val="22"/>
          <w:lang w:val="it-IT" w:bidi="it-IT"/>
        </w:rPr>
        <w:t xml:space="preserve">Riepilogo </w:t>
      </w:r>
    </w:p>
    <w:p w14:paraId="428BEAD8" w14:textId="77777777" w:rsidR="00E15BBA" w:rsidRPr="006F084A" w:rsidRDefault="00E15BBA" w:rsidP="00E15BBA">
      <w:pPr>
        <w:pStyle w:val="ListParagraph"/>
        <w:spacing w:after="200" w:line="276" w:lineRule="auto"/>
        <w:ind w:left="0"/>
        <w:jc w:val="both"/>
        <w:rPr>
          <w:sz w:val="22"/>
          <w:szCs w:val="22"/>
          <w:lang w:val="it-IT"/>
        </w:rPr>
      </w:pPr>
      <w:r w:rsidRPr="008049D2">
        <w:rPr>
          <w:sz w:val="22"/>
          <w:lang w:val="it-IT" w:bidi="it-IT"/>
        </w:rPr>
        <w:t>Il regolamento 2019/2088 del Parlamento europeo e del Consiglio del 27 novembre 2019 relativo all’informativa sulla sostenibilità nel settore dei servizi finanziari (“</w:t>
      </w:r>
      <w:r w:rsidRPr="008049D2">
        <w:rPr>
          <w:b/>
          <w:sz w:val="22"/>
          <w:lang w:val="it-IT" w:bidi="it-IT"/>
        </w:rPr>
        <w:t>SFDR</w:t>
      </w:r>
      <w:r w:rsidRPr="008049D2">
        <w:rPr>
          <w:sz w:val="22"/>
          <w:lang w:val="it-IT" w:bidi="it-IT"/>
        </w:rPr>
        <w:t>”) e il regolamento (UE) 2020/852 del Parlamento europeo e del Consiglio relativo all’istituzione di un quadro che favorisce gli investimenti sostenibili e recante modifica del regolamento (UE) 2019/2088 (il “</w:t>
      </w:r>
      <w:r w:rsidRPr="008049D2">
        <w:rPr>
          <w:b/>
          <w:sz w:val="22"/>
          <w:lang w:val="it-IT" w:bidi="it-IT"/>
        </w:rPr>
        <w:t>regolamento Tassonomia</w:t>
      </w:r>
      <w:r w:rsidRPr="008049D2">
        <w:rPr>
          <w:sz w:val="22"/>
          <w:lang w:val="it-IT" w:bidi="it-IT"/>
        </w:rPr>
        <w:t>”) (insieme la “</w:t>
      </w:r>
      <w:r w:rsidRPr="008049D2">
        <w:rPr>
          <w:b/>
          <w:sz w:val="22"/>
          <w:lang w:val="it-IT" w:bidi="it-IT"/>
        </w:rPr>
        <w:t>regolamentazione relativa alle informazioni da fornire</w:t>
      </w:r>
      <w:r w:rsidRPr="008049D2">
        <w:rPr>
          <w:sz w:val="22"/>
          <w:lang w:val="it-IT" w:bidi="it-IT"/>
        </w:rPr>
        <w:t>”) mirano a fornire maggiore trasparenza agli investitori sull’integrazione dei rischi di sostenibilità, sulla considerazione degli effetti negativi per la sostenibilità nei processi di investimento, sulla promozione dei fattori ambientali, sociali e/o di governance (“</w:t>
      </w:r>
      <w:r w:rsidRPr="008049D2">
        <w:rPr>
          <w:b/>
          <w:sz w:val="22"/>
          <w:lang w:val="it-IT" w:bidi="it-IT"/>
        </w:rPr>
        <w:t>ESG</w:t>
      </w:r>
      <w:r w:rsidRPr="008049D2">
        <w:rPr>
          <w:sz w:val="22"/>
          <w:lang w:val="it-IT" w:bidi="it-IT"/>
        </w:rPr>
        <w:t xml:space="preserve">”) e sugli obiettivi di investimento sostenibile. In particolare, richiede ai gestori di fondi e ai consulenti di divulgare agli investitori informazioni specifiche relative all’ESG sui loro siti web. </w:t>
      </w:r>
    </w:p>
    <w:p w14:paraId="0CBD4B3F" w14:textId="77777777" w:rsidR="00E15BBA" w:rsidRPr="006F084A" w:rsidRDefault="00E15BBA" w:rsidP="00E15BBA">
      <w:pPr>
        <w:pStyle w:val="ListParagraph"/>
        <w:spacing w:after="200" w:line="276" w:lineRule="auto"/>
        <w:ind w:left="0"/>
        <w:jc w:val="both"/>
        <w:rPr>
          <w:sz w:val="22"/>
          <w:szCs w:val="22"/>
          <w:lang w:val="it-IT"/>
        </w:rPr>
      </w:pPr>
    </w:p>
    <w:p w14:paraId="54FC5D24" w14:textId="77777777" w:rsidR="00E15BBA" w:rsidRPr="006F084A" w:rsidRDefault="00E15BBA" w:rsidP="00E15BBA">
      <w:pPr>
        <w:pStyle w:val="ListParagraph"/>
        <w:spacing w:after="200" w:line="276" w:lineRule="auto"/>
        <w:ind w:left="0"/>
        <w:jc w:val="both"/>
        <w:rPr>
          <w:sz w:val="22"/>
          <w:szCs w:val="22"/>
          <w:lang w:val="it-IT"/>
        </w:rPr>
      </w:pPr>
      <w:r w:rsidRPr="00E576C1">
        <w:rPr>
          <w:sz w:val="22"/>
          <w:lang w:val="it-IT" w:bidi="it-IT"/>
        </w:rPr>
        <w:t>La regolamentazione relativa alle informazioni da fornire sarà integrata dalle misure di attuazione dell’UE (le cosiddette norme tecniche di regolamentazione o “</w:t>
      </w:r>
      <w:r w:rsidRPr="00E576C1">
        <w:rPr>
          <w:b/>
          <w:sz w:val="22"/>
          <w:lang w:val="it-IT" w:bidi="it-IT"/>
        </w:rPr>
        <w:t>RTS</w:t>
      </w:r>
      <w:r w:rsidRPr="00E576C1">
        <w:rPr>
          <w:sz w:val="22"/>
          <w:lang w:val="it-IT" w:bidi="it-IT"/>
        </w:rPr>
        <w:t xml:space="preserve">”), a partire dal 1° gennaio 2023. Tutte le informazioni sulla sostenibilità contenute nel presente documento si basano pertanto sulle RTS definitive pubblicate dalle autorità di vigilanza europee il 6 aprile 2022. </w:t>
      </w:r>
    </w:p>
    <w:p w14:paraId="708E2330" w14:textId="77777777" w:rsidR="00E15BBA" w:rsidRPr="006F084A" w:rsidRDefault="00E15BBA" w:rsidP="00E15BBA">
      <w:pPr>
        <w:pStyle w:val="ListParagraph"/>
        <w:spacing w:after="200" w:line="276" w:lineRule="auto"/>
        <w:ind w:left="0"/>
        <w:jc w:val="both"/>
        <w:rPr>
          <w:sz w:val="22"/>
          <w:szCs w:val="22"/>
          <w:lang w:val="it-IT"/>
        </w:rPr>
      </w:pPr>
    </w:p>
    <w:p w14:paraId="17E8E4F9" w14:textId="77777777" w:rsidR="00E15BBA" w:rsidRPr="006F084A" w:rsidRDefault="00E15BBA" w:rsidP="00E15BBA">
      <w:pPr>
        <w:pStyle w:val="ListParagraph"/>
        <w:spacing w:after="200" w:line="276" w:lineRule="auto"/>
        <w:ind w:left="0"/>
        <w:jc w:val="both"/>
        <w:rPr>
          <w:sz w:val="22"/>
          <w:szCs w:val="22"/>
          <w:lang w:val="it-IT"/>
        </w:rPr>
      </w:pPr>
      <w:r w:rsidRPr="00AD2C96">
        <w:rPr>
          <w:sz w:val="22"/>
          <w:lang w:val="it-IT" w:bidi="it-IT"/>
        </w:rPr>
        <w:t>BLUEEARTH CLIMATE GROWTH FUND I, S.C.A., SICAV-RAIF (il “</w:t>
      </w:r>
      <w:r w:rsidRPr="00AD2C96">
        <w:rPr>
          <w:b/>
          <w:sz w:val="22"/>
          <w:lang w:val="it-IT" w:bidi="it-IT"/>
        </w:rPr>
        <w:t>Fondo</w:t>
      </w:r>
      <w:r w:rsidRPr="00AD2C96">
        <w:rPr>
          <w:sz w:val="22"/>
          <w:lang w:val="it-IT" w:bidi="it-IT"/>
        </w:rPr>
        <w:t>”) è stato costituito per investire in private equity. Il Fondo è gestito dal suo gestore di fondi di investimento alternativi, Alter Domus Management Company S.A. (il “</w:t>
      </w:r>
      <w:r w:rsidRPr="00AD2C96">
        <w:rPr>
          <w:b/>
          <w:sz w:val="22"/>
          <w:lang w:val="it-IT" w:bidi="it-IT"/>
        </w:rPr>
        <w:t>Gestore</w:t>
      </w:r>
      <w:r w:rsidRPr="00AD2C96">
        <w:rPr>
          <w:sz w:val="22"/>
          <w:lang w:val="it-IT" w:bidi="it-IT"/>
        </w:rPr>
        <w:t>”). Blue Earth Capital AG agisce in qualità di consulente del Gestore (il “</w:t>
      </w:r>
      <w:r w:rsidRPr="00AD2C96">
        <w:rPr>
          <w:b/>
          <w:sz w:val="22"/>
          <w:lang w:val="it-IT" w:bidi="it-IT"/>
        </w:rPr>
        <w:t>Consulente</w:t>
      </w:r>
      <w:r w:rsidRPr="00AD2C96">
        <w:rPr>
          <w:sz w:val="22"/>
          <w:lang w:val="it-IT" w:bidi="it-IT"/>
        </w:rPr>
        <w:t>”). Le seguenti informazioni del Gestore si basano sulla consultazione, sulle informazioni e sulle raccomandazioni ricevute dal Consulente. Per conseguire l’obiettivo di investimento sostenibile del Fondo, il Gestore si impegna a investire in modo responsabile integrando attivamente le considerazioni ESG nella selezione degli investimenti e nel processo di monitoraggio continuo.</w:t>
      </w:r>
    </w:p>
    <w:p w14:paraId="5CA4D3BC" w14:textId="77777777" w:rsidR="00E15BBA" w:rsidRPr="006F084A" w:rsidRDefault="00E15BBA" w:rsidP="00E15BBA">
      <w:pPr>
        <w:pStyle w:val="ListParagraph"/>
        <w:spacing w:after="200" w:line="276" w:lineRule="auto"/>
        <w:ind w:left="0"/>
        <w:jc w:val="both"/>
        <w:rPr>
          <w:sz w:val="22"/>
          <w:szCs w:val="22"/>
          <w:lang w:val="it-IT"/>
        </w:rPr>
      </w:pPr>
    </w:p>
    <w:p w14:paraId="3A5BC4BD" w14:textId="77777777" w:rsidR="00E15BBA" w:rsidRPr="006F084A" w:rsidRDefault="00E15BBA" w:rsidP="00E15BBA">
      <w:pPr>
        <w:pStyle w:val="ListParagraph"/>
        <w:spacing w:after="200" w:line="276" w:lineRule="auto"/>
        <w:ind w:left="0"/>
        <w:jc w:val="both"/>
        <w:rPr>
          <w:sz w:val="22"/>
          <w:szCs w:val="22"/>
          <w:lang w:val="it-IT"/>
        </w:rPr>
      </w:pPr>
      <w:r w:rsidRPr="006A147A">
        <w:rPr>
          <w:sz w:val="22"/>
          <w:lang w:val="it-IT" w:bidi="it-IT"/>
        </w:rPr>
        <w:t>L’obiettivo di investimento sostenibile del Fondo è quello di contribuire alle attività che cercano di accelerare la transizione a zero emissioni, migliorare la resilienza della società ai cambiamenti climatici e promuovere l’efficienza delle risorse. Il Fondo prenderà in considerazione i principali effetti negativi per la sostenibilità (i “</w:t>
      </w:r>
      <w:r w:rsidRPr="006A147A">
        <w:rPr>
          <w:b/>
          <w:sz w:val="22"/>
          <w:lang w:val="it-IT" w:bidi="it-IT"/>
        </w:rPr>
        <w:t>PASI</w:t>
      </w:r>
      <w:r w:rsidRPr="006A147A">
        <w:rPr>
          <w:sz w:val="22"/>
          <w:lang w:val="it-IT" w:bidi="it-IT"/>
        </w:rPr>
        <w:t>”) come definiti nell’SFDR e documentati nell’allegato I delle RTS. Il Gestore effettua una valutazione iniziale degli indicatori PASI come parte della due diligence ESG completa per ogni investimento. Inoltre, il Fondo segue una valutazione d’impatto completa che include un’analisi dei fattori di rischio basata sulla metodologia IMP</w:t>
      </w:r>
      <w:r>
        <w:rPr>
          <w:rStyle w:val="FootnoteReference"/>
          <w:sz w:val="22"/>
          <w:lang w:val="it-IT" w:bidi="it-IT"/>
        </w:rPr>
        <w:footnoteReference w:id="9"/>
      </w:r>
      <w:r w:rsidRPr="006A147A">
        <w:rPr>
          <w:sz w:val="22"/>
          <w:lang w:val="it-IT" w:bidi="it-IT"/>
        </w:rPr>
        <w:t xml:space="preserve">. </w:t>
      </w:r>
    </w:p>
    <w:p w14:paraId="6D9760A6" w14:textId="77777777" w:rsidR="00E15BBA" w:rsidRPr="006F084A" w:rsidRDefault="00E15BBA" w:rsidP="00E15BBA">
      <w:pPr>
        <w:pStyle w:val="ListParagraph"/>
        <w:spacing w:after="200" w:line="276" w:lineRule="auto"/>
        <w:ind w:left="0"/>
        <w:jc w:val="both"/>
        <w:rPr>
          <w:sz w:val="22"/>
          <w:szCs w:val="22"/>
          <w:lang w:val="it-IT"/>
        </w:rPr>
      </w:pPr>
    </w:p>
    <w:p w14:paraId="63639FE9" w14:textId="77777777" w:rsidR="00E15BBA" w:rsidRPr="006F084A" w:rsidRDefault="00E15BBA" w:rsidP="00E15BBA">
      <w:pPr>
        <w:pStyle w:val="ListParagraph"/>
        <w:spacing w:after="200" w:line="276" w:lineRule="auto"/>
        <w:ind w:left="0"/>
        <w:jc w:val="both"/>
        <w:rPr>
          <w:sz w:val="22"/>
          <w:szCs w:val="22"/>
          <w:lang w:val="it-IT"/>
        </w:rPr>
      </w:pPr>
      <w:r w:rsidRPr="006F3874">
        <w:rPr>
          <w:sz w:val="22"/>
          <w:lang w:val="it-IT" w:bidi="it-IT"/>
        </w:rPr>
        <w:t xml:space="preserve">Il Fondo ha una strategia di mercato privato che mira sia a generare un ritorno finanziario positivo sia a ottenere un impatto positivo sul clima. L’obiettivo del Fondo è investire in attività ambientali, qualificate come investimenti sostenibili ai sensi dell’SFDR. Per raggiungere questi obiettivi, il </w:t>
      </w:r>
      <w:r w:rsidRPr="006F3874">
        <w:rPr>
          <w:sz w:val="22"/>
          <w:lang w:val="it-IT" w:bidi="it-IT"/>
        </w:rPr>
        <w:lastRenderedPageBreak/>
        <w:t>Fondo integra considerazioni sull’impatto in tutto il ciclo di vita dell’investimento, compresa una metodologia di valutazione dell’impatto e di rendicontazione all’avanguardia.</w:t>
      </w:r>
    </w:p>
    <w:p w14:paraId="7FFAA527" w14:textId="77777777" w:rsidR="00E15BBA" w:rsidRPr="006F084A" w:rsidRDefault="00E15BBA" w:rsidP="00E15BBA">
      <w:pPr>
        <w:pStyle w:val="ListParagraph"/>
        <w:spacing w:after="200" w:line="276" w:lineRule="auto"/>
        <w:ind w:left="0"/>
        <w:jc w:val="both"/>
        <w:rPr>
          <w:sz w:val="22"/>
          <w:szCs w:val="22"/>
          <w:lang w:val="it-IT"/>
        </w:rPr>
      </w:pPr>
    </w:p>
    <w:p w14:paraId="4D9EBE81" w14:textId="77777777" w:rsidR="00E15BBA" w:rsidRPr="006F084A" w:rsidRDefault="00E15BBA" w:rsidP="00E15BBA">
      <w:pPr>
        <w:pStyle w:val="ListParagraph"/>
        <w:spacing w:after="200" w:line="276" w:lineRule="auto"/>
        <w:ind w:left="0"/>
        <w:jc w:val="both"/>
        <w:rPr>
          <w:sz w:val="22"/>
          <w:szCs w:val="22"/>
          <w:lang w:val="it-IT"/>
        </w:rPr>
      </w:pPr>
      <w:r w:rsidRPr="006F3874">
        <w:rPr>
          <w:sz w:val="22"/>
          <w:lang w:val="it-IT" w:bidi="it-IT"/>
        </w:rPr>
        <w:t>Il Gestore investe nella crescita di società interessanti con un modello di business comprovato, un elevato potenziale di sviluppo e un impatto climatico misurabile e scalabile. Il Fondo investirà nei seguenti temi chiave per ottenere un impatto significativo sul clima: ecosistema della transizione energetica; edifici e mobilità; intelligenza climatica; produzione e consumo; cibo e agricoltura. Le strategie di investimento sono definite per ogni settore prioritario sulla base della redditività a lungo termine dei modelli di business, delle opportunità di crescita/creazione di valore, nonché della portata e della profondità dell’impatto.</w:t>
      </w:r>
    </w:p>
    <w:p w14:paraId="5DFF4616" w14:textId="77777777" w:rsidR="00E15BBA" w:rsidRPr="006F084A" w:rsidRDefault="00E15BBA" w:rsidP="00E15BBA">
      <w:pPr>
        <w:pStyle w:val="ListParagraph"/>
        <w:spacing w:after="200" w:line="276" w:lineRule="auto"/>
        <w:ind w:left="0"/>
        <w:jc w:val="both"/>
        <w:rPr>
          <w:sz w:val="22"/>
          <w:szCs w:val="22"/>
          <w:lang w:val="it-IT"/>
        </w:rPr>
      </w:pPr>
    </w:p>
    <w:p w14:paraId="25309110" w14:textId="77777777" w:rsidR="00E15BBA" w:rsidRPr="006F084A" w:rsidRDefault="00E15BBA" w:rsidP="00E15BBA">
      <w:pPr>
        <w:pStyle w:val="ListParagraph"/>
        <w:spacing w:after="200" w:line="276" w:lineRule="auto"/>
        <w:ind w:left="0"/>
        <w:jc w:val="both"/>
        <w:rPr>
          <w:sz w:val="22"/>
          <w:szCs w:val="22"/>
          <w:lang w:val="it-IT"/>
        </w:rPr>
      </w:pPr>
      <w:r>
        <w:rPr>
          <w:sz w:val="22"/>
          <w:lang w:val="it-IT" w:bidi="it-IT"/>
        </w:rPr>
        <w:t xml:space="preserve">Il Fondo investe: (i) per il 90% in investimenti sostenibili dal punto di vista ambientale; e (ii) per il 10% in altri investimenti che saranno composti da liquidità utilizzata per un’efficiente liquidità e un’efficiente gestione del portafoglio o dei costi. Si noti che la liquidità fluttuerà costantemente e non influirà sull’obiettivo sostenibile del Fondo. </w:t>
      </w:r>
    </w:p>
    <w:p w14:paraId="5339C8D6" w14:textId="77777777" w:rsidR="00E15BBA" w:rsidRPr="006F084A" w:rsidRDefault="00E15BBA" w:rsidP="00E15BBA">
      <w:pPr>
        <w:pStyle w:val="ListParagraph"/>
        <w:spacing w:after="200" w:line="276" w:lineRule="auto"/>
        <w:ind w:left="0"/>
        <w:jc w:val="both"/>
        <w:rPr>
          <w:sz w:val="22"/>
          <w:szCs w:val="22"/>
          <w:lang w:val="it-IT"/>
        </w:rPr>
      </w:pPr>
    </w:p>
    <w:p w14:paraId="6ADA9228" w14:textId="77777777" w:rsidR="00E15BBA" w:rsidRPr="006F084A" w:rsidRDefault="00E15BBA" w:rsidP="00E15BBA">
      <w:pPr>
        <w:pStyle w:val="ListParagraph"/>
        <w:spacing w:after="200" w:line="276" w:lineRule="auto"/>
        <w:ind w:left="0"/>
        <w:jc w:val="both"/>
        <w:rPr>
          <w:sz w:val="22"/>
          <w:szCs w:val="22"/>
          <w:lang w:val="it-IT"/>
        </w:rPr>
      </w:pPr>
      <w:r w:rsidRPr="00A621D8">
        <w:rPr>
          <w:sz w:val="22"/>
          <w:lang w:val="it-IT" w:bidi="it-IT"/>
        </w:rPr>
        <w:t>Il Gestore effettuerà una valutazione qualitativa degli indicatori di sostenibilità su base regolare e monitorerà attivamente gli indicatori di sostenibilità e gli incidenti ESG, riesaminando i progressi ESG su base annuale.</w:t>
      </w:r>
    </w:p>
    <w:p w14:paraId="5E25EF42" w14:textId="77777777" w:rsidR="00E15BBA" w:rsidRPr="006F084A" w:rsidRDefault="00E15BBA" w:rsidP="00E15BBA">
      <w:pPr>
        <w:pStyle w:val="ListParagraph"/>
        <w:spacing w:after="200" w:line="276" w:lineRule="auto"/>
        <w:ind w:left="0"/>
        <w:jc w:val="both"/>
        <w:rPr>
          <w:sz w:val="22"/>
          <w:szCs w:val="22"/>
          <w:lang w:val="it-IT"/>
        </w:rPr>
      </w:pPr>
    </w:p>
    <w:p w14:paraId="70589203" w14:textId="77777777" w:rsidR="00E15BBA" w:rsidRPr="006F084A" w:rsidRDefault="00E15BBA" w:rsidP="00E15BBA">
      <w:pPr>
        <w:pStyle w:val="ListParagraph"/>
        <w:spacing w:after="200" w:line="276" w:lineRule="auto"/>
        <w:ind w:left="0"/>
        <w:jc w:val="both"/>
        <w:rPr>
          <w:sz w:val="22"/>
          <w:szCs w:val="22"/>
          <w:lang w:val="it-IT"/>
        </w:rPr>
      </w:pPr>
      <w:r>
        <w:rPr>
          <w:sz w:val="22"/>
          <w:lang w:val="it-IT" w:bidi="it-IT"/>
        </w:rPr>
        <w:t>La metodologia di valutazione e gestione dell’impatto e di ESG del Gestore si basa sui seguenti strumenti: (1) Progetto di gestione dell’impatto; (2) Modello logico (“Teoria del cambiamento”); (3) Obiettivi di sviluppo sostenibile delle Nazioni Unite; (4) Metriche IRIS; e Strumenti di due diligence ESG.</w:t>
      </w:r>
    </w:p>
    <w:p w14:paraId="10E67188" w14:textId="77777777" w:rsidR="00E15BBA" w:rsidRPr="006F084A" w:rsidRDefault="00E15BBA" w:rsidP="00E15BBA">
      <w:pPr>
        <w:pStyle w:val="ListParagraph"/>
        <w:spacing w:after="200" w:line="276" w:lineRule="auto"/>
        <w:ind w:left="0"/>
        <w:jc w:val="both"/>
        <w:rPr>
          <w:sz w:val="22"/>
          <w:szCs w:val="22"/>
          <w:lang w:val="it-IT"/>
        </w:rPr>
      </w:pPr>
    </w:p>
    <w:p w14:paraId="739E2C5E" w14:textId="77777777" w:rsidR="00E15BBA" w:rsidRPr="006F084A" w:rsidRDefault="00E15BBA" w:rsidP="00E15BBA">
      <w:pPr>
        <w:pStyle w:val="ListParagraph"/>
        <w:spacing w:after="200" w:line="276" w:lineRule="auto"/>
        <w:ind w:left="0"/>
        <w:jc w:val="both"/>
        <w:rPr>
          <w:sz w:val="22"/>
          <w:szCs w:val="22"/>
          <w:lang w:val="it-IT"/>
        </w:rPr>
      </w:pPr>
      <w:r>
        <w:rPr>
          <w:sz w:val="22"/>
          <w:lang w:val="it-IT" w:bidi="it-IT"/>
        </w:rPr>
        <w:t>Gli investimenti saranno selezionati solo dopo aver effettuato molteplici valutazioni nel ciclo di vita dell’investimento, dall’individuazione dell’operazione e dalla due diligence fino all’uscita, in base al loro potenziale di generare un impatto ambientale e sociale in linea con i mandati del Fondo e con il suo obiettivo di investimento sostenibile.</w:t>
      </w:r>
    </w:p>
    <w:p w14:paraId="16191AAC" w14:textId="77777777" w:rsidR="00E15BBA" w:rsidRPr="006F084A" w:rsidRDefault="00E15BBA" w:rsidP="00E15BBA">
      <w:pPr>
        <w:pStyle w:val="ListParagraph"/>
        <w:spacing w:after="200" w:line="276" w:lineRule="auto"/>
        <w:ind w:left="0"/>
        <w:jc w:val="both"/>
        <w:rPr>
          <w:sz w:val="22"/>
          <w:szCs w:val="22"/>
          <w:lang w:val="it-IT"/>
        </w:rPr>
      </w:pPr>
    </w:p>
    <w:p w14:paraId="5C20EA29" w14:textId="77777777" w:rsidR="00E15BBA" w:rsidRPr="006F084A" w:rsidRDefault="00E15BBA" w:rsidP="00E15BBA">
      <w:pPr>
        <w:pStyle w:val="ListParagraph"/>
        <w:spacing w:after="200" w:line="276" w:lineRule="auto"/>
        <w:ind w:left="0"/>
        <w:jc w:val="both"/>
        <w:rPr>
          <w:sz w:val="22"/>
          <w:szCs w:val="22"/>
          <w:lang w:val="it-IT"/>
        </w:rPr>
      </w:pPr>
      <w:r w:rsidRPr="008049D2">
        <w:rPr>
          <w:sz w:val="22"/>
          <w:lang w:val="it-IT" w:bidi="it-IT"/>
        </w:rPr>
        <w:t>Il Fondo persegue una strategia di gestione attiva degli investimenti e non investe facendo riferimento ad alcun indice e non intende farlo.</w:t>
      </w:r>
    </w:p>
    <w:p w14:paraId="75C41124" w14:textId="77777777" w:rsidR="00E15BBA" w:rsidRPr="006F084A" w:rsidRDefault="00E15BBA" w:rsidP="00E15BBA">
      <w:pPr>
        <w:pStyle w:val="ListParagraph"/>
        <w:rPr>
          <w:sz w:val="22"/>
          <w:szCs w:val="22"/>
          <w:lang w:val="it-IT"/>
        </w:rPr>
      </w:pPr>
    </w:p>
    <w:p w14:paraId="7DD281A5" w14:textId="77777777" w:rsidR="00E15BBA" w:rsidRPr="006F084A" w:rsidRDefault="00E15BBA" w:rsidP="00E15BBA">
      <w:pPr>
        <w:pStyle w:val="ListParagraph"/>
        <w:rPr>
          <w:sz w:val="22"/>
          <w:szCs w:val="22"/>
          <w:lang w:val="it-IT"/>
        </w:rPr>
      </w:pPr>
    </w:p>
    <w:p w14:paraId="0FC4829E" w14:textId="77777777" w:rsidR="00E15BBA" w:rsidRPr="006F084A" w:rsidRDefault="00E15BBA" w:rsidP="00E15BBA">
      <w:pPr>
        <w:pStyle w:val="ListParagraph"/>
        <w:rPr>
          <w:sz w:val="22"/>
          <w:szCs w:val="22"/>
          <w:lang w:val="it-IT"/>
        </w:rPr>
      </w:pPr>
    </w:p>
    <w:p w14:paraId="00D39BA1" w14:textId="77777777" w:rsidR="00E15BBA" w:rsidRPr="006F084A" w:rsidRDefault="00E15BBA" w:rsidP="00E15BBA">
      <w:pPr>
        <w:pStyle w:val="ListParagraph"/>
        <w:rPr>
          <w:sz w:val="22"/>
          <w:szCs w:val="22"/>
          <w:lang w:val="it-IT"/>
        </w:rPr>
      </w:pPr>
      <w:r w:rsidRPr="006F084A">
        <w:rPr>
          <w:sz w:val="22"/>
          <w:szCs w:val="22"/>
          <w:lang w:val="it-IT"/>
        </w:rPr>
        <w:br w:type="page"/>
      </w:r>
    </w:p>
    <w:p w14:paraId="510613C1" w14:textId="4CFC73F3" w:rsidR="00E15BBA" w:rsidRDefault="00DE6F43" w:rsidP="00E15BBA">
      <w:pPr>
        <w:pStyle w:val="Body"/>
        <w:spacing w:after="60"/>
        <w:jc w:val="left"/>
        <w:rPr>
          <w:b/>
          <w:i/>
          <w:iCs/>
          <w:color w:val="A6A6A6" w:themeColor="background1" w:themeShade="A6"/>
          <w:kern w:val="0"/>
          <w:sz w:val="26"/>
          <w:lang w:val="en-US" w:bidi="de-DE"/>
        </w:rPr>
      </w:pPr>
      <w:r>
        <w:rPr>
          <w:b/>
          <w:i/>
          <w:iCs/>
          <w:color w:val="A6A6A6" w:themeColor="background1" w:themeShade="A6"/>
          <w:kern w:val="0"/>
          <w:sz w:val="26"/>
          <w:lang w:val="en-US" w:bidi="de-DE"/>
        </w:rPr>
        <w:lastRenderedPageBreak/>
        <w:t xml:space="preserve">Annex 6: </w:t>
      </w:r>
      <w:r w:rsidR="00E15BBA">
        <w:rPr>
          <w:b/>
          <w:i/>
          <w:iCs/>
          <w:color w:val="A6A6A6" w:themeColor="background1" w:themeShade="A6"/>
          <w:kern w:val="0"/>
          <w:sz w:val="26"/>
          <w:lang w:val="en-US" w:bidi="de-DE"/>
        </w:rPr>
        <w:t>Dutch</w:t>
      </w:r>
      <w:r w:rsidR="00E15BBA" w:rsidRPr="00A8627F">
        <w:rPr>
          <w:b/>
          <w:i/>
          <w:iCs/>
          <w:color w:val="A6A6A6" w:themeColor="background1" w:themeShade="A6"/>
          <w:kern w:val="0"/>
          <w:sz w:val="26"/>
          <w:lang w:val="en-US" w:bidi="de-DE"/>
        </w:rPr>
        <w:t xml:space="preserve"> translation</w:t>
      </w:r>
      <w:r w:rsidR="00E15BBA">
        <w:rPr>
          <w:b/>
          <w:i/>
          <w:iCs/>
          <w:color w:val="A6A6A6" w:themeColor="background1" w:themeShade="A6"/>
          <w:kern w:val="0"/>
          <w:sz w:val="26"/>
          <w:lang w:val="en-US" w:bidi="de-DE"/>
        </w:rPr>
        <w:t>, the English version prevails</w:t>
      </w:r>
    </w:p>
    <w:p w14:paraId="0BF91BC1" w14:textId="77777777" w:rsidR="00F90D49" w:rsidRDefault="00F90D49" w:rsidP="00E15BBA">
      <w:pPr>
        <w:pStyle w:val="Body"/>
        <w:spacing w:after="60"/>
        <w:jc w:val="left"/>
        <w:rPr>
          <w:b/>
          <w:i/>
          <w:iCs/>
          <w:color w:val="A6A6A6" w:themeColor="background1" w:themeShade="A6"/>
          <w:kern w:val="0"/>
          <w:sz w:val="26"/>
          <w:lang w:val="en-US" w:bidi="de-DE"/>
        </w:rPr>
      </w:pPr>
    </w:p>
    <w:p w14:paraId="7130A9A7" w14:textId="77777777" w:rsidR="00E15BBA" w:rsidRDefault="00E15BBA" w:rsidP="00E15BBA">
      <w:pPr>
        <w:pStyle w:val="Body"/>
        <w:spacing w:after="60"/>
        <w:jc w:val="center"/>
        <w:rPr>
          <w:rFonts w:ascii="Lato" w:eastAsiaTheme="minorEastAsia" w:hAnsi="Lato"/>
          <w:b/>
          <w:bCs/>
          <w:color w:val="002060"/>
          <w:kern w:val="0"/>
          <w:sz w:val="26"/>
          <w:szCs w:val="26"/>
          <w:lang w:eastAsia="zh-CN"/>
        </w:rPr>
      </w:pPr>
      <w:r w:rsidRPr="00AD2C96">
        <w:rPr>
          <w:b/>
          <w:color w:val="002060"/>
          <w:kern w:val="0"/>
          <w:sz w:val="26"/>
          <w:lang w:val="nl-NL" w:bidi="nl-NL"/>
        </w:rPr>
        <w:t xml:space="preserve">BlueEarth Klimaat Groei Fonds I, S.C.A., SICAV-RAIF </w:t>
      </w:r>
    </w:p>
    <w:p w14:paraId="72E96F77" w14:textId="77777777" w:rsidR="00E15BBA" w:rsidRPr="008049D2" w:rsidRDefault="00E15BBA" w:rsidP="00F90D49">
      <w:pPr>
        <w:pStyle w:val="Heading1"/>
        <w:numPr>
          <w:ilvl w:val="0"/>
          <w:numId w:val="49"/>
        </w:numPr>
        <w:ind w:left="709"/>
        <w:rPr>
          <w:sz w:val="22"/>
          <w:szCs w:val="22"/>
          <w:lang w:val="en-GB"/>
        </w:rPr>
      </w:pPr>
      <w:r w:rsidRPr="008049D2">
        <w:rPr>
          <w:sz w:val="22"/>
          <w:lang w:val="nl-NL" w:bidi="nl-NL"/>
        </w:rPr>
        <w:t xml:space="preserve">Samenvatting </w:t>
      </w:r>
    </w:p>
    <w:p w14:paraId="0066158E" w14:textId="77777777" w:rsidR="00E15BBA" w:rsidRPr="006F084A" w:rsidRDefault="00E15BBA" w:rsidP="00E15BBA">
      <w:pPr>
        <w:pStyle w:val="ListParagraph"/>
        <w:spacing w:after="200" w:line="276" w:lineRule="auto"/>
        <w:ind w:left="0"/>
        <w:jc w:val="both"/>
        <w:rPr>
          <w:sz w:val="22"/>
          <w:szCs w:val="22"/>
          <w:lang w:val="nl-NL"/>
        </w:rPr>
      </w:pPr>
      <w:r w:rsidRPr="008049D2">
        <w:rPr>
          <w:sz w:val="22"/>
          <w:lang w:val="nl-NL" w:bidi="nl-NL"/>
        </w:rPr>
        <w:t>De Verordening (EU) 2019/2088 van het Europees Parlement en de Raad van 27 november 2019 betreffende informatieverschaffing over duurzaamheid in de financiële dienstensector (de “</w:t>
      </w:r>
      <w:r w:rsidRPr="008049D2">
        <w:rPr>
          <w:b/>
          <w:sz w:val="22"/>
          <w:lang w:val="nl-NL" w:bidi="nl-NL"/>
        </w:rPr>
        <w:t>SFDR</w:t>
      </w:r>
      <w:r w:rsidRPr="008049D2">
        <w:rPr>
          <w:sz w:val="22"/>
          <w:lang w:val="nl-NL" w:bidi="nl-NL"/>
        </w:rPr>
        <w:t>”) en de Verordening (EU) 2020/852 betreffende de oprichting van een kader om duurzaam beleggen te vergemakkelijken en tot wijziging van EU-verordening 2019/2088 (de "</w:t>
      </w:r>
      <w:r w:rsidRPr="008049D2">
        <w:rPr>
          <w:b/>
          <w:sz w:val="22"/>
          <w:lang w:val="nl-NL" w:bidi="nl-NL"/>
        </w:rPr>
        <w:t>Taxonomie Verordening</w:t>
      </w:r>
      <w:r w:rsidRPr="008049D2">
        <w:rPr>
          <w:sz w:val="22"/>
          <w:lang w:val="nl-NL" w:bidi="nl-NL"/>
        </w:rPr>
        <w:t>") (samen de "</w:t>
      </w:r>
      <w:r w:rsidRPr="008049D2">
        <w:rPr>
          <w:b/>
          <w:sz w:val="22"/>
          <w:lang w:val="nl-NL" w:bidi="nl-NL"/>
        </w:rPr>
        <w:t>Openbaarmakingsverordeningen</w:t>
      </w:r>
      <w:r w:rsidRPr="008049D2">
        <w:rPr>
          <w:sz w:val="22"/>
          <w:lang w:val="nl-NL" w:bidi="nl-NL"/>
        </w:rPr>
        <w:t xml:space="preserve">") gericht op het bieden van meer transparantie aan beleggers over de integratie van duurzaamheidsrisico's, over het in aanmerking nemen van ongunstige duurzaamheidseffecten in de beleggingsprocessen op het bevorderen van ecologische, sociale en/of </w:t>
      </w:r>
      <w:proofErr w:type="spellStart"/>
      <w:r w:rsidRPr="008049D2">
        <w:rPr>
          <w:sz w:val="22"/>
          <w:lang w:val="nl-NL" w:bidi="nl-NL"/>
        </w:rPr>
        <w:t>governance</w:t>
      </w:r>
      <w:proofErr w:type="spellEnd"/>
      <w:r w:rsidRPr="008049D2">
        <w:rPr>
          <w:sz w:val="22"/>
          <w:lang w:val="nl-NL" w:bidi="nl-NL"/>
        </w:rPr>
        <w:t xml:space="preserve"> (“</w:t>
      </w:r>
      <w:r w:rsidRPr="008049D2">
        <w:rPr>
          <w:b/>
          <w:sz w:val="22"/>
          <w:lang w:val="nl-NL" w:bidi="nl-NL"/>
        </w:rPr>
        <w:t>ESG</w:t>
      </w:r>
      <w:r w:rsidRPr="008049D2">
        <w:rPr>
          <w:sz w:val="22"/>
          <w:lang w:val="nl-NL" w:bidi="nl-NL"/>
        </w:rPr>
        <w:t xml:space="preserve">”) factoren, en op het hebben van duurzame beleggingsdoelstellingen. Het vereist met name dat fondsbeheerders en adviseurs op hun websites specifieke ESG-gerelateerde informatie aan beleggers bekendmaken. </w:t>
      </w:r>
    </w:p>
    <w:p w14:paraId="67559CA9" w14:textId="77777777" w:rsidR="00E15BBA" w:rsidRPr="006F084A" w:rsidRDefault="00E15BBA" w:rsidP="00E15BBA">
      <w:pPr>
        <w:pStyle w:val="ListParagraph"/>
        <w:spacing w:after="200" w:line="276" w:lineRule="auto"/>
        <w:ind w:left="0"/>
        <w:jc w:val="both"/>
        <w:rPr>
          <w:sz w:val="22"/>
          <w:szCs w:val="22"/>
          <w:lang w:val="nl-NL"/>
        </w:rPr>
      </w:pPr>
    </w:p>
    <w:p w14:paraId="5A67E273" w14:textId="77777777" w:rsidR="00E15BBA" w:rsidRPr="006F084A" w:rsidRDefault="00E15BBA" w:rsidP="00E15BBA">
      <w:pPr>
        <w:pStyle w:val="ListParagraph"/>
        <w:spacing w:after="200" w:line="276" w:lineRule="auto"/>
        <w:ind w:left="0"/>
        <w:jc w:val="both"/>
        <w:rPr>
          <w:sz w:val="22"/>
          <w:szCs w:val="22"/>
          <w:lang w:val="nl-NL"/>
        </w:rPr>
      </w:pPr>
      <w:r w:rsidRPr="00E576C1">
        <w:rPr>
          <w:sz w:val="22"/>
          <w:lang w:val="nl-NL" w:bidi="nl-NL"/>
        </w:rPr>
        <w:t>De Openbaarmakingsverordeningen zijn aangevuld met de uitvoeringsmaatregelen van de EU (zogenaamde regelgevende en technische normen of "</w:t>
      </w:r>
      <w:r w:rsidRPr="00E576C1">
        <w:rPr>
          <w:b/>
          <w:sz w:val="22"/>
          <w:lang w:val="nl-NL" w:bidi="nl-NL"/>
        </w:rPr>
        <w:t>RTS</w:t>
      </w:r>
      <w:r w:rsidRPr="00E576C1">
        <w:rPr>
          <w:sz w:val="22"/>
          <w:lang w:val="nl-NL" w:bidi="nl-NL"/>
        </w:rPr>
        <w:t xml:space="preserve">"), vanaf 1 januari 2023. Alle informatie over duurzaamheid hierin is daarom gebaseerd op de definitieve RTS die op 6 april 2022 door de Europese toezichthoudende autoriteiten is gepubliceerd. </w:t>
      </w:r>
    </w:p>
    <w:p w14:paraId="5E6742F2" w14:textId="77777777" w:rsidR="00E15BBA" w:rsidRPr="006F084A" w:rsidRDefault="00E15BBA" w:rsidP="00E15BBA">
      <w:pPr>
        <w:pStyle w:val="ListParagraph"/>
        <w:spacing w:after="200" w:line="276" w:lineRule="auto"/>
        <w:ind w:left="0"/>
        <w:jc w:val="both"/>
        <w:rPr>
          <w:sz w:val="22"/>
          <w:szCs w:val="22"/>
          <w:lang w:val="nl-NL"/>
        </w:rPr>
      </w:pPr>
    </w:p>
    <w:p w14:paraId="3A8030B4" w14:textId="77777777" w:rsidR="00E15BBA" w:rsidRPr="006F084A" w:rsidRDefault="00E15BBA" w:rsidP="00E15BBA">
      <w:pPr>
        <w:pStyle w:val="ListParagraph"/>
        <w:spacing w:after="200" w:line="276" w:lineRule="auto"/>
        <w:ind w:left="0"/>
        <w:jc w:val="both"/>
        <w:rPr>
          <w:sz w:val="22"/>
          <w:szCs w:val="22"/>
          <w:lang w:val="nl-NL"/>
        </w:rPr>
      </w:pPr>
      <w:r w:rsidRPr="00AD2C96">
        <w:rPr>
          <w:sz w:val="22"/>
          <w:lang w:val="nl-NL" w:bidi="nl-NL"/>
        </w:rPr>
        <w:t>BLUEEARTH KLIMAAT GROEI FONDS I, S.C.A., SICAV-RAIF (het "</w:t>
      </w:r>
      <w:r w:rsidRPr="00AD2C96">
        <w:rPr>
          <w:b/>
          <w:sz w:val="22"/>
          <w:lang w:val="nl-NL" w:bidi="nl-NL"/>
        </w:rPr>
        <w:t>Fonds</w:t>
      </w:r>
      <w:r w:rsidRPr="00AD2C96">
        <w:rPr>
          <w:sz w:val="22"/>
          <w:lang w:val="nl-NL" w:bidi="nl-NL"/>
        </w:rPr>
        <w:t xml:space="preserve">") wordt opgericht om te investeren in private </w:t>
      </w:r>
      <w:proofErr w:type="spellStart"/>
      <w:r w:rsidRPr="00AD2C96">
        <w:rPr>
          <w:sz w:val="22"/>
          <w:lang w:val="nl-NL" w:bidi="nl-NL"/>
        </w:rPr>
        <w:t>equity</w:t>
      </w:r>
      <w:proofErr w:type="spellEnd"/>
      <w:r w:rsidRPr="00AD2C96">
        <w:rPr>
          <w:sz w:val="22"/>
          <w:lang w:val="nl-NL" w:bidi="nl-NL"/>
        </w:rPr>
        <w:t>. Het Fonds wordt beheerd door zijn alternatieve beleggingsfondsbeheerder, Alter Domus Management Company S.A. (de "</w:t>
      </w:r>
      <w:r w:rsidRPr="00AD2C96">
        <w:rPr>
          <w:b/>
          <w:sz w:val="22"/>
          <w:lang w:val="nl-NL" w:bidi="nl-NL"/>
        </w:rPr>
        <w:t>Beheerder</w:t>
      </w:r>
      <w:r w:rsidRPr="00AD2C96">
        <w:rPr>
          <w:sz w:val="22"/>
          <w:lang w:val="nl-NL" w:bidi="nl-NL"/>
        </w:rPr>
        <w:t xml:space="preserve">"). Blue Earth </w:t>
      </w:r>
      <w:proofErr w:type="spellStart"/>
      <w:r w:rsidRPr="00AD2C96">
        <w:rPr>
          <w:sz w:val="22"/>
          <w:lang w:val="nl-NL" w:bidi="nl-NL"/>
        </w:rPr>
        <w:t>Capital</w:t>
      </w:r>
      <w:proofErr w:type="spellEnd"/>
      <w:r w:rsidRPr="00AD2C96">
        <w:rPr>
          <w:sz w:val="22"/>
          <w:lang w:val="nl-NL" w:bidi="nl-NL"/>
        </w:rPr>
        <w:t xml:space="preserve"> AG treedt op in de hoedanigheid van adviseur van de Beheerder (de "</w:t>
      </w:r>
      <w:r w:rsidRPr="00AD2C96">
        <w:rPr>
          <w:b/>
          <w:sz w:val="22"/>
          <w:lang w:val="nl-NL" w:bidi="nl-NL"/>
        </w:rPr>
        <w:t>Adviseur</w:t>
      </w:r>
      <w:r w:rsidRPr="00AD2C96">
        <w:rPr>
          <w:sz w:val="22"/>
          <w:lang w:val="nl-NL" w:bidi="nl-NL"/>
        </w:rPr>
        <w:t>"). Onderstaande informatie van de Beheerder is gebaseerd op de consultatie, informatie en aanbevelingen ontvangen van de Adviseur. De Beheerder zet zich in om op een verantwoorde manier te beleggen door ESG-overwegingen actief te integreren in zijn beleggingsselectie en doorlopend monitoringproces.</w:t>
      </w:r>
    </w:p>
    <w:p w14:paraId="62D94DB8" w14:textId="77777777" w:rsidR="00E15BBA" w:rsidRPr="006F084A" w:rsidRDefault="00E15BBA" w:rsidP="00E15BBA">
      <w:pPr>
        <w:pStyle w:val="ListParagraph"/>
        <w:spacing w:after="200" w:line="276" w:lineRule="auto"/>
        <w:ind w:left="0"/>
        <w:jc w:val="both"/>
        <w:rPr>
          <w:sz w:val="22"/>
          <w:szCs w:val="22"/>
          <w:lang w:val="nl-NL"/>
        </w:rPr>
      </w:pPr>
    </w:p>
    <w:p w14:paraId="45876E00" w14:textId="77777777" w:rsidR="00E15BBA" w:rsidRPr="006F084A" w:rsidRDefault="00E15BBA" w:rsidP="00E15BBA">
      <w:pPr>
        <w:pStyle w:val="ListParagraph"/>
        <w:spacing w:after="200" w:line="276" w:lineRule="auto"/>
        <w:ind w:left="0"/>
        <w:jc w:val="both"/>
        <w:rPr>
          <w:sz w:val="22"/>
          <w:szCs w:val="22"/>
          <w:lang w:val="nl-NL"/>
        </w:rPr>
      </w:pPr>
      <w:r w:rsidRPr="006A147A">
        <w:rPr>
          <w:sz w:val="22"/>
          <w:lang w:val="nl-NL" w:bidi="nl-NL"/>
        </w:rPr>
        <w:t>De duurzame beleggingsdoelstelling van het fonds is om bij te dragen aan activiteiten die de transitie naar netto nul proberen te versnellen, de samenleving weerbaarder te maken tegen klimaatverandering en een efficiënt gebruik van hulpbronnen te bevorderen. Het Fonds houdt rekening met de belangrijkste nadelige duurzaamheidseffecten (de "</w:t>
      </w:r>
      <w:proofErr w:type="spellStart"/>
      <w:r w:rsidRPr="006A147A">
        <w:rPr>
          <w:b/>
          <w:sz w:val="22"/>
          <w:lang w:val="nl-NL" w:bidi="nl-NL"/>
        </w:rPr>
        <w:t>PASI's</w:t>
      </w:r>
      <w:proofErr w:type="spellEnd"/>
      <w:r w:rsidRPr="006A147A">
        <w:rPr>
          <w:sz w:val="22"/>
          <w:lang w:val="nl-NL" w:bidi="nl-NL"/>
        </w:rPr>
        <w:t>") zoals gedefinieerd in SFDR en gedocumenteerd in bijlage I van de RTS. De Beheerder voert een eerste beoordeling uit van de PASI-indicatoren als onderdeel van de ESG-</w:t>
      </w:r>
      <w:proofErr w:type="spellStart"/>
      <w:r w:rsidRPr="006A147A">
        <w:rPr>
          <w:sz w:val="22"/>
          <w:lang w:val="nl-NL" w:bidi="nl-NL"/>
        </w:rPr>
        <w:t>due</w:t>
      </w:r>
      <w:proofErr w:type="spellEnd"/>
      <w:r w:rsidRPr="006A147A">
        <w:rPr>
          <w:sz w:val="22"/>
          <w:lang w:val="nl-NL" w:bidi="nl-NL"/>
        </w:rPr>
        <w:t>-diligence die voor elke belegging wordt uitgevoerd. Daarnaast volgt het Fonds een uitgebreide effectbeoordeling inclusief een analyse van risicofactoren op basis van de IMP</w:t>
      </w:r>
      <w:r>
        <w:rPr>
          <w:rStyle w:val="FootnoteReference"/>
          <w:sz w:val="22"/>
          <w:lang w:val="nl-NL" w:bidi="nl-NL"/>
        </w:rPr>
        <w:footnoteReference w:id="10"/>
      </w:r>
      <w:r w:rsidRPr="006A147A">
        <w:rPr>
          <w:sz w:val="22"/>
          <w:lang w:val="nl-NL" w:bidi="nl-NL"/>
        </w:rPr>
        <w:t xml:space="preserve"> methodiek. </w:t>
      </w:r>
    </w:p>
    <w:p w14:paraId="7793CDE3" w14:textId="77777777" w:rsidR="00E15BBA" w:rsidRPr="006F084A" w:rsidRDefault="00E15BBA" w:rsidP="00E15BBA">
      <w:pPr>
        <w:pStyle w:val="ListParagraph"/>
        <w:spacing w:after="200" w:line="276" w:lineRule="auto"/>
        <w:ind w:left="0"/>
        <w:jc w:val="both"/>
        <w:rPr>
          <w:sz w:val="22"/>
          <w:szCs w:val="22"/>
          <w:lang w:val="nl-NL"/>
        </w:rPr>
      </w:pPr>
    </w:p>
    <w:p w14:paraId="7C4E8023" w14:textId="77777777" w:rsidR="00E15BBA" w:rsidRPr="006F084A" w:rsidRDefault="00E15BBA" w:rsidP="00E15BBA">
      <w:pPr>
        <w:pStyle w:val="ListParagraph"/>
        <w:spacing w:after="200" w:line="276" w:lineRule="auto"/>
        <w:ind w:left="0"/>
        <w:jc w:val="both"/>
        <w:rPr>
          <w:sz w:val="22"/>
          <w:szCs w:val="22"/>
          <w:lang w:val="nl-NL"/>
        </w:rPr>
      </w:pPr>
      <w:r w:rsidRPr="006F3874">
        <w:rPr>
          <w:sz w:val="22"/>
          <w:lang w:val="nl-NL" w:bidi="nl-NL"/>
        </w:rPr>
        <w:t xml:space="preserve">Het Fonds heeft een private marktstrategie gericht op zowel het genereren van een positief financieel rendement als op het bereiken van een positieve klimaat impact. De doelstelling van het fonds is te beleggen in milieuactiva die volgens de SFDR als duurzaam beleggen worden </w:t>
      </w:r>
      <w:r w:rsidRPr="006F3874">
        <w:rPr>
          <w:sz w:val="22"/>
          <w:lang w:val="nl-NL" w:bidi="nl-NL"/>
        </w:rPr>
        <w:lastRenderedPageBreak/>
        <w:t>gekwalificeerd. Om deze doelstellingen te bereiken, integreert het Fonds impactoverwegingen gedurende de gehele beleggingslevenscyclus, inclusief een best-in-class impactbeoordeling en rapportagemethodiek.</w:t>
      </w:r>
    </w:p>
    <w:p w14:paraId="6A96B686" w14:textId="77777777" w:rsidR="00E15BBA" w:rsidRPr="006F084A" w:rsidRDefault="00E15BBA" w:rsidP="00E15BBA">
      <w:pPr>
        <w:pStyle w:val="ListParagraph"/>
        <w:spacing w:after="200" w:line="276" w:lineRule="auto"/>
        <w:ind w:left="0"/>
        <w:jc w:val="both"/>
        <w:rPr>
          <w:sz w:val="22"/>
          <w:szCs w:val="22"/>
          <w:lang w:val="nl-NL"/>
        </w:rPr>
      </w:pPr>
    </w:p>
    <w:p w14:paraId="32E51D9A" w14:textId="77777777" w:rsidR="00E15BBA" w:rsidRPr="006F084A" w:rsidRDefault="00E15BBA" w:rsidP="00E15BBA">
      <w:pPr>
        <w:pStyle w:val="ListParagraph"/>
        <w:spacing w:after="200" w:line="276" w:lineRule="auto"/>
        <w:ind w:left="0"/>
        <w:jc w:val="both"/>
        <w:rPr>
          <w:sz w:val="22"/>
          <w:szCs w:val="22"/>
          <w:lang w:val="nl-NL"/>
        </w:rPr>
      </w:pPr>
      <w:r w:rsidRPr="006F3874">
        <w:rPr>
          <w:sz w:val="22"/>
          <w:lang w:val="nl-NL" w:bidi="nl-NL"/>
        </w:rPr>
        <w:t>De Beheerder investeert in de groei van aantrekkelijke ondernemingen met een bewezen bedrijfsmodel, een hoog ontwikkelingspotentieel en een meetbare en schaalbare sociale/milieu-impact. Het Fonds zal beleggen in de volgende hoofdthema's om een betekenisvolle impact op het klimaat te hebben: energietransitie-ecosysteem; gebouwen &amp; mobiliteit; klimaatintelligentie; productie &amp; consumptie; en voedsel &amp; landbouw. Voor elke prioritaire sector worden investeringsstrategieën gedefinieerd op basis van de levensvatbaarheid van bedrijfsmodellen op lange termijn, mogelijkheden voor groei/</w:t>
      </w:r>
      <w:proofErr w:type="spellStart"/>
      <w:r w:rsidRPr="006F3874">
        <w:rPr>
          <w:sz w:val="22"/>
          <w:lang w:val="nl-NL" w:bidi="nl-NL"/>
        </w:rPr>
        <w:t>waardecreatie</w:t>
      </w:r>
      <w:proofErr w:type="spellEnd"/>
      <w:r w:rsidRPr="006F3874">
        <w:rPr>
          <w:sz w:val="22"/>
          <w:lang w:val="nl-NL" w:bidi="nl-NL"/>
        </w:rPr>
        <w:t xml:space="preserve"> en schaal en diepte van de impact.</w:t>
      </w:r>
    </w:p>
    <w:p w14:paraId="1AAD7E81" w14:textId="77777777" w:rsidR="00E15BBA" w:rsidRPr="006F084A" w:rsidRDefault="00E15BBA" w:rsidP="00E15BBA">
      <w:pPr>
        <w:pStyle w:val="ListParagraph"/>
        <w:spacing w:after="200" w:line="276" w:lineRule="auto"/>
        <w:ind w:left="0"/>
        <w:jc w:val="both"/>
        <w:rPr>
          <w:sz w:val="22"/>
          <w:szCs w:val="22"/>
          <w:lang w:val="nl-NL"/>
        </w:rPr>
      </w:pPr>
    </w:p>
    <w:p w14:paraId="0CDAE160" w14:textId="77777777" w:rsidR="00E15BBA" w:rsidRPr="006F084A" w:rsidRDefault="00E15BBA" w:rsidP="00E15BBA">
      <w:pPr>
        <w:pStyle w:val="ListParagraph"/>
        <w:spacing w:after="200" w:line="276" w:lineRule="auto"/>
        <w:ind w:left="0"/>
        <w:jc w:val="both"/>
        <w:rPr>
          <w:sz w:val="22"/>
          <w:szCs w:val="22"/>
          <w:lang w:val="nl-NL"/>
        </w:rPr>
      </w:pPr>
      <w:r>
        <w:rPr>
          <w:sz w:val="22"/>
          <w:lang w:val="nl-NL" w:bidi="nl-NL"/>
        </w:rPr>
        <w:t xml:space="preserve">Het Fonds belegt: (i) 90% in ecologisch duurzame beleggingen; en (ii) 10% in andere beleggingen die zullen bestaan uit contanten die worden gebruikt voor efficiënte liquiditeit en efficiënt portefeuillebeheer of kostenbeheer. Opgemerkt wordt dat de contanten voortdurend zullen fluctueren en geen invloed zullen hebben op de duurzame doelstelling van het Fonds. </w:t>
      </w:r>
    </w:p>
    <w:p w14:paraId="4404D06E" w14:textId="77777777" w:rsidR="00E15BBA" w:rsidRPr="006F084A" w:rsidRDefault="00E15BBA" w:rsidP="00E15BBA">
      <w:pPr>
        <w:pStyle w:val="ListParagraph"/>
        <w:spacing w:after="200" w:line="276" w:lineRule="auto"/>
        <w:ind w:left="0"/>
        <w:jc w:val="both"/>
        <w:rPr>
          <w:sz w:val="22"/>
          <w:szCs w:val="22"/>
          <w:lang w:val="nl-NL"/>
        </w:rPr>
      </w:pPr>
    </w:p>
    <w:p w14:paraId="07BCDA6A" w14:textId="77777777" w:rsidR="00E15BBA" w:rsidRPr="006F084A" w:rsidRDefault="00E15BBA" w:rsidP="00E15BBA">
      <w:pPr>
        <w:pStyle w:val="ListParagraph"/>
        <w:spacing w:after="200" w:line="276" w:lineRule="auto"/>
        <w:ind w:left="0"/>
        <w:jc w:val="both"/>
        <w:rPr>
          <w:sz w:val="22"/>
          <w:szCs w:val="22"/>
          <w:lang w:val="nl-NL"/>
        </w:rPr>
      </w:pPr>
      <w:r w:rsidRPr="00A621D8">
        <w:rPr>
          <w:sz w:val="22"/>
          <w:lang w:val="nl-NL" w:bidi="nl-NL"/>
        </w:rPr>
        <w:t>De Beheerder zal op regelmatige basis een kwalitatieve beoordeling van duurzaamheidsindicatoren uitvoeren en zal duurzaamheidsindicatoren en ESG-incidenten actief monitoren en de ESG-voortgang op jaarbasis beoordelen.</w:t>
      </w:r>
    </w:p>
    <w:p w14:paraId="7313CECD" w14:textId="77777777" w:rsidR="00E15BBA" w:rsidRPr="006F084A" w:rsidRDefault="00E15BBA" w:rsidP="00E15BBA">
      <w:pPr>
        <w:pStyle w:val="ListParagraph"/>
        <w:spacing w:after="200" w:line="276" w:lineRule="auto"/>
        <w:ind w:left="0"/>
        <w:jc w:val="both"/>
        <w:rPr>
          <w:sz w:val="22"/>
          <w:szCs w:val="22"/>
          <w:lang w:val="nl-NL"/>
        </w:rPr>
      </w:pPr>
    </w:p>
    <w:p w14:paraId="59F17473" w14:textId="77777777" w:rsidR="00E15BBA" w:rsidRPr="006F084A" w:rsidRDefault="00E15BBA" w:rsidP="00E15BBA">
      <w:pPr>
        <w:pStyle w:val="ListParagraph"/>
        <w:spacing w:after="200" w:line="276" w:lineRule="auto"/>
        <w:ind w:left="0"/>
        <w:jc w:val="both"/>
        <w:rPr>
          <w:sz w:val="22"/>
          <w:szCs w:val="22"/>
          <w:lang w:val="nl-NL"/>
        </w:rPr>
      </w:pPr>
      <w:r>
        <w:rPr>
          <w:sz w:val="22"/>
          <w:lang w:val="nl-NL" w:bidi="nl-NL"/>
        </w:rPr>
        <w:t>De impact- en ESG-beoordelings- en beheermethodologie van de Beheerder is gebaseerd op de volgende instrumenten: (1) Project voor impactbeheer; (2) Logisch model ("</w:t>
      </w:r>
      <w:proofErr w:type="spellStart"/>
      <w:r>
        <w:rPr>
          <w:sz w:val="22"/>
          <w:lang w:val="nl-NL" w:bidi="nl-NL"/>
        </w:rPr>
        <w:t>Theory</w:t>
      </w:r>
      <w:proofErr w:type="spellEnd"/>
      <w:r>
        <w:rPr>
          <w:sz w:val="22"/>
          <w:lang w:val="nl-NL" w:bidi="nl-NL"/>
        </w:rPr>
        <w:t xml:space="preserve"> of Change"); (3) Duurzame ontwikkelingsdoelen van de Verenigde Naties; (4) IRIS-statistieken; en ESG </w:t>
      </w:r>
      <w:proofErr w:type="spellStart"/>
      <w:r>
        <w:rPr>
          <w:sz w:val="22"/>
          <w:lang w:val="nl-NL" w:bidi="nl-NL"/>
        </w:rPr>
        <w:t>Due</w:t>
      </w:r>
      <w:proofErr w:type="spellEnd"/>
      <w:r>
        <w:rPr>
          <w:sz w:val="22"/>
          <w:lang w:val="nl-NL" w:bidi="nl-NL"/>
        </w:rPr>
        <w:t xml:space="preserve"> Diligence-tools.</w:t>
      </w:r>
    </w:p>
    <w:p w14:paraId="1F0D41DC" w14:textId="77777777" w:rsidR="00E15BBA" w:rsidRPr="006F084A" w:rsidRDefault="00E15BBA" w:rsidP="00E15BBA">
      <w:pPr>
        <w:pStyle w:val="ListParagraph"/>
        <w:spacing w:after="200" w:line="276" w:lineRule="auto"/>
        <w:ind w:left="0"/>
        <w:jc w:val="both"/>
        <w:rPr>
          <w:sz w:val="22"/>
          <w:szCs w:val="22"/>
          <w:lang w:val="nl-NL"/>
        </w:rPr>
      </w:pPr>
    </w:p>
    <w:p w14:paraId="5AA465D8" w14:textId="77777777" w:rsidR="00E15BBA" w:rsidRPr="006F084A" w:rsidRDefault="00E15BBA" w:rsidP="00E15BBA">
      <w:pPr>
        <w:pStyle w:val="ListParagraph"/>
        <w:spacing w:after="200" w:line="276" w:lineRule="auto"/>
        <w:ind w:left="0"/>
        <w:jc w:val="both"/>
        <w:rPr>
          <w:sz w:val="22"/>
          <w:szCs w:val="22"/>
          <w:lang w:val="nl-NL"/>
        </w:rPr>
      </w:pPr>
      <w:r>
        <w:rPr>
          <w:sz w:val="22"/>
          <w:lang w:val="nl-NL" w:bidi="nl-NL"/>
        </w:rPr>
        <w:t xml:space="preserve">Beleggingen worden pas geselecteerd na meerdere beoordelingsmomenten in de beleggingslevenscyclus, van het zoeken naar deals en </w:t>
      </w:r>
      <w:proofErr w:type="spellStart"/>
      <w:r>
        <w:rPr>
          <w:sz w:val="22"/>
          <w:lang w:val="nl-NL" w:bidi="nl-NL"/>
        </w:rPr>
        <w:t>due</w:t>
      </w:r>
      <w:proofErr w:type="spellEnd"/>
      <w:r>
        <w:rPr>
          <w:sz w:val="22"/>
          <w:lang w:val="nl-NL" w:bidi="nl-NL"/>
        </w:rPr>
        <w:t xml:space="preserve"> diligence tot exit, op </w:t>
      </w:r>
      <w:proofErr w:type="gramStart"/>
      <w:r>
        <w:rPr>
          <w:sz w:val="22"/>
          <w:lang w:val="nl-NL" w:bidi="nl-NL"/>
        </w:rPr>
        <w:t>hun</w:t>
      </w:r>
      <w:proofErr w:type="gramEnd"/>
      <w:r>
        <w:rPr>
          <w:sz w:val="22"/>
          <w:lang w:val="nl-NL" w:bidi="nl-NL"/>
        </w:rPr>
        <w:t xml:space="preserve"> potentieel om ecologische en sociale impact te genereren in overeenstemming met de mandaten van het Fonds en de duurzame beleggingsdoelstelling van het Fonds.</w:t>
      </w:r>
    </w:p>
    <w:p w14:paraId="6FE3EFE6" w14:textId="77777777" w:rsidR="00E15BBA" w:rsidRPr="006F084A" w:rsidRDefault="00E15BBA" w:rsidP="00E15BBA">
      <w:pPr>
        <w:pStyle w:val="ListParagraph"/>
        <w:spacing w:after="200" w:line="276" w:lineRule="auto"/>
        <w:ind w:left="0"/>
        <w:jc w:val="both"/>
        <w:rPr>
          <w:sz w:val="22"/>
          <w:szCs w:val="22"/>
          <w:lang w:val="nl-NL"/>
        </w:rPr>
      </w:pPr>
    </w:p>
    <w:p w14:paraId="167741FE" w14:textId="77777777" w:rsidR="00E15BBA" w:rsidRPr="006F084A" w:rsidRDefault="00E15BBA" w:rsidP="00E15BBA">
      <w:pPr>
        <w:pStyle w:val="ListParagraph"/>
        <w:spacing w:after="200" w:line="276" w:lineRule="auto"/>
        <w:ind w:left="0"/>
        <w:jc w:val="both"/>
        <w:rPr>
          <w:sz w:val="22"/>
          <w:szCs w:val="22"/>
          <w:lang w:val="de-CH"/>
        </w:rPr>
      </w:pPr>
      <w:r w:rsidRPr="008049D2">
        <w:rPr>
          <w:sz w:val="22"/>
          <w:lang w:val="nl-NL" w:bidi="nl-NL"/>
        </w:rPr>
        <w:t>Het Fonds volgt een actieve beleggingsbeheerstrategie en belegt niet op basis van een index en is ook niet van plan dat te doen.</w:t>
      </w:r>
    </w:p>
    <w:p w14:paraId="782B756D" w14:textId="77777777" w:rsidR="00E15BBA" w:rsidRPr="006F084A" w:rsidRDefault="00E15BBA" w:rsidP="00E15BBA">
      <w:pPr>
        <w:pStyle w:val="ListParagraph"/>
        <w:rPr>
          <w:sz w:val="22"/>
          <w:szCs w:val="22"/>
          <w:lang w:val="de-CH"/>
        </w:rPr>
      </w:pPr>
    </w:p>
    <w:p w14:paraId="3644D3BB" w14:textId="77777777" w:rsidR="00E15BBA" w:rsidRPr="006F084A" w:rsidRDefault="00E15BBA" w:rsidP="00E15BBA">
      <w:pPr>
        <w:pStyle w:val="ListParagraph"/>
        <w:rPr>
          <w:sz w:val="22"/>
          <w:szCs w:val="22"/>
          <w:lang w:val="de-CH"/>
        </w:rPr>
      </w:pPr>
    </w:p>
    <w:p w14:paraId="097B6D9A" w14:textId="77777777" w:rsidR="00E15BBA" w:rsidRPr="006F084A" w:rsidRDefault="00E15BBA" w:rsidP="00E15BBA">
      <w:pPr>
        <w:pStyle w:val="ListParagraph"/>
        <w:rPr>
          <w:sz w:val="22"/>
          <w:szCs w:val="22"/>
          <w:lang w:val="de-CH"/>
        </w:rPr>
      </w:pPr>
    </w:p>
    <w:p w14:paraId="5F28570E" w14:textId="77777777" w:rsidR="00E15BBA" w:rsidRPr="006F084A" w:rsidRDefault="00E15BBA" w:rsidP="00E15BBA">
      <w:pPr>
        <w:pStyle w:val="ListParagraph"/>
        <w:rPr>
          <w:sz w:val="22"/>
          <w:szCs w:val="22"/>
          <w:lang w:val="de-CH"/>
        </w:rPr>
      </w:pPr>
      <w:r w:rsidRPr="006F084A">
        <w:rPr>
          <w:sz w:val="22"/>
          <w:szCs w:val="22"/>
          <w:lang w:val="de-CH"/>
        </w:rPr>
        <w:br w:type="page"/>
      </w:r>
    </w:p>
    <w:p w14:paraId="29A09113" w14:textId="39B12431" w:rsidR="00E15BBA" w:rsidRDefault="00DE6F43" w:rsidP="00E15BBA">
      <w:pPr>
        <w:pStyle w:val="Body"/>
        <w:spacing w:after="60"/>
        <w:jc w:val="left"/>
        <w:rPr>
          <w:b/>
          <w:i/>
          <w:iCs/>
          <w:color w:val="A6A6A6" w:themeColor="background1" w:themeShade="A6"/>
          <w:kern w:val="0"/>
          <w:sz w:val="26"/>
          <w:lang w:val="en-US" w:bidi="de-DE"/>
        </w:rPr>
      </w:pPr>
      <w:r w:rsidRPr="00DE6F43">
        <w:rPr>
          <w:b/>
          <w:i/>
          <w:iCs/>
          <w:color w:val="A6A6A6" w:themeColor="background1" w:themeShade="A6"/>
          <w:kern w:val="0"/>
          <w:sz w:val="26"/>
          <w:lang w:val="en-US" w:bidi="de-DE"/>
        </w:rPr>
        <w:lastRenderedPageBreak/>
        <w:t xml:space="preserve">Annex 7: </w:t>
      </w:r>
      <w:r w:rsidR="00E15BBA">
        <w:rPr>
          <w:b/>
          <w:i/>
          <w:iCs/>
          <w:color w:val="A6A6A6" w:themeColor="background1" w:themeShade="A6"/>
          <w:kern w:val="0"/>
          <w:sz w:val="26"/>
          <w:lang w:val="en-US" w:bidi="de-DE"/>
        </w:rPr>
        <w:t>Swedish</w:t>
      </w:r>
      <w:r w:rsidR="00E15BBA" w:rsidRPr="00A8627F">
        <w:rPr>
          <w:b/>
          <w:i/>
          <w:iCs/>
          <w:color w:val="A6A6A6" w:themeColor="background1" w:themeShade="A6"/>
          <w:kern w:val="0"/>
          <w:sz w:val="26"/>
          <w:lang w:val="en-US" w:bidi="de-DE"/>
        </w:rPr>
        <w:t xml:space="preserve"> translation</w:t>
      </w:r>
      <w:r w:rsidR="00E15BBA">
        <w:rPr>
          <w:b/>
          <w:i/>
          <w:iCs/>
          <w:color w:val="A6A6A6" w:themeColor="background1" w:themeShade="A6"/>
          <w:kern w:val="0"/>
          <w:sz w:val="26"/>
          <w:lang w:val="en-US" w:bidi="de-DE"/>
        </w:rPr>
        <w:t>, the English version prevails</w:t>
      </w:r>
    </w:p>
    <w:p w14:paraId="5BC6300F" w14:textId="77777777" w:rsidR="00F90D49" w:rsidRDefault="00F90D49" w:rsidP="00E15BBA">
      <w:pPr>
        <w:pStyle w:val="Body"/>
        <w:spacing w:after="60"/>
        <w:jc w:val="left"/>
        <w:rPr>
          <w:b/>
          <w:i/>
          <w:iCs/>
          <w:color w:val="A6A6A6" w:themeColor="background1" w:themeShade="A6"/>
          <w:kern w:val="0"/>
          <w:sz w:val="26"/>
          <w:lang w:val="en-US" w:bidi="de-DE"/>
        </w:rPr>
      </w:pPr>
    </w:p>
    <w:p w14:paraId="0FEA4957" w14:textId="77777777" w:rsidR="00E15BBA" w:rsidRDefault="00E15BBA" w:rsidP="00E15BBA">
      <w:pPr>
        <w:pStyle w:val="Body"/>
        <w:spacing w:after="60"/>
        <w:jc w:val="center"/>
        <w:rPr>
          <w:rFonts w:ascii="Lato" w:eastAsiaTheme="minorEastAsia" w:hAnsi="Lato"/>
          <w:b/>
          <w:bCs/>
          <w:color w:val="002060"/>
          <w:kern w:val="0"/>
          <w:sz w:val="26"/>
          <w:szCs w:val="26"/>
          <w:lang w:eastAsia="zh-CN"/>
        </w:rPr>
      </w:pPr>
      <w:r w:rsidRPr="00FF5A71">
        <w:rPr>
          <w:b/>
          <w:color w:val="002060"/>
          <w:kern w:val="0"/>
          <w:sz w:val="26"/>
          <w:lang w:val="en-US" w:bidi="sv-SE"/>
        </w:rPr>
        <w:t>BlueEarth Climate Growth Fund</w:t>
      </w:r>
      <w:r w:rsidRPr="00FF5A71">
        <w:rPr>
          <w:color w:val="002060"/>
          <w:kern w:val="0"/>
          <w:sz w:val="26"/>
          <w:lang w:val="en-US" w:bidi="sv-SE"/>
        </w:rPr>
        <w:t xml:space="preserve"> </w:t>
      </w:r>
      <w:r w:rsidRPr="00FF5A71">
        <w:rPr>
          <w:b/>
          <w:color w:val="002060"/>
          <w:kern w:val="0"/>
          <w:sz w:val="26"/>
          <w:lang w:val="en-US" w:bidi="sv-SE"/>
        </w:rPr>
        <w:t xml:space="preserve">I, S.C.A., SICAV-RAIF </w:t>
      </w:r>
      <w:r w:rsidRPr="00FF5A71">
        <w:rPr>
          <w:color w:val="002060"/>
          <w:kern w:val="0"/>
          <w:sz w:val="26"/>
          <w:lang w:val="en-US" w:bidi="sv-SE"/>
        </w:rPr>
        <w:t>(</w:t>
      </w:r>
      <w:proofErr w:type="spellStart"/>
      <w:r w:rsidRPr="00FF5A71">
        <w:rPr>
          <w:color w:val="002060"/>
          <w:kern w:val="0"/>
          <w:sz w:val="26"/>
          <w:lang w:val="en-US" w:bidi="sv-SE"/>
        </w:rPr>
        <w:t>klimattillväxtfond</w:t>
      </w:r>
      <w:proofErr w:type="spellEnd"/>
      <w:r w:rsidRPr="00FF5A71">
        <w:rPr>
          <w:color w:val="002060"/>
          <w:kern w:val="0"/>
          <w:sz w:val="26"/>
          <w:lang w:val="en-US" w:bidi="sv-SE"/>
        </w:rPr>
        <w:t>)</w:t>
      </w:r>
      <w:r w:rsidRPr="00FF5A71">
        <w:rPr>
          <w:b/>
          <w:color w:val="002060"/>
          <w:kern w:val="0"/>
          <w:sz w:val="26"/>
          <w:lang w:val="en-US" w:bidi="sv-SE"/>
        </w:rPr>
        <w:t xml:space="preserve"> </w:t>
      </w:r>
    </w:p>
    <w:p w14:paraId="2A0C545E" w14:textId="77777777" w:rsidR="00E15BBA" w:rsidRPr="008049D2" w:rsidRDefault="00E15BBA" w:rsidP="00F90D49">
      <w:pPr>
        <w:pStyle w:val="Heading1"/>
        <w:numPr>
          <w:ilvl w:val="0"/>
          <w:numId w:val="50"/>
        </w:numPr>
        <w:ind w:left="709"/>
        <w:rPr>
          <w:sz w:val="22"/>
          <w:szCs w:val="22"/>
          <w:lang w:val="en-GB"/>
        </w:rPr>
      </w:pPr>
      <w:r w:rsidRPr="008049D2">
        <w:rPr>
          <w:sz w:val="22"/>
          <w:lang w:val="sv-SE" w:bidi="sv-SE"/>
        </w:rPr>
        <w:t xml:space="preserve">Sammanfattning </w:t>
      </w:r>
    </w:p>
    <w:p w14:paraId="360D51BF" w14:textId="77777777" w:rsidR="00E15BBA" w:rsidRPr="00FF5A71" w:rsidRDefault="00E15BBA" w:rsidP="00E15BBA">
      <w:pPr>
        <w:pStyle w:val="ListParagraph"/>
        <w:spacing w:after="200" w:line="276" w:lineRule="auto"/>
        <w:ind w:left="0"/>
        <w:jc w:val="both"/>
        <w:rPr>
          <w:sz w:val="22"/>
          <w:szCs w:val="22"/>
          <w:lang w:val="sv-SE"/>
        </w:rPr>
      </w:pPr>
      <w:r w:rsidRPr="008049D2">
        <w:rPr>
          <w:sz w:val="22"/>
          <w:lang w:val="sv-SE" w:bidi="sv-SE"/>
        </w:rPr>
        <w:t>Europaparlamentets och rådets förordning (EU) 2019/2088 av den 27 november 2019 om hållbarhetsrelaterade upplysningar inom sektorn för finansiella tjänster (”</w:t>
      </w:r>
      <w:r w:rsidRPr="008049D2">
        <w:rPr>
          <w:b/>
          <w:sz w:val="22"/>
          <w:lang w:val="sv-SE" w:bidi="sv-SE"/>
        </w:rPr>
        <w:t>SFDR</w:t>
      </w:r>
      <w:r w:rsidRPr="008049D2">
        <w:rPr>
          <w:sz w:val="22"/>
          <w:lang w:val="sv-SE" w:bidi="sv-SE"/>
        </w:rPr>
        <w:t>”) och förordningen (EU) 2020/852 om inrättande av ett ramverk för att underlätta hållbara investeringar och ändring av EU-förordning 2019/2088 ("</w:t>
      </w:r>
      <w:r w:rsidRPr="008049D2">
        <w:rPr>
          <w:b/>
          <w:sz w:val="22"/>
          <w:lang w:val="sv-SE" w:bidi="sv-SE"/>
        </w:rPr>
        <w:t>Taxonomiförordningen</w:t>
      </w:r>
      <w:r w:rsidRPr="008049D2">
        <w:rPr>
          <w:sz w:val="22"/>
          <w:lang w:val="sv-SE" w:bidi="sv-SE"/>
        </w:rPr>
        <w:t>") (tillsammans "</w:t>
      </w:r>
      <w:r w:rsidRPr="008049D2">
        <w:rPr>
          <w:b/>
          <w:sz w:val="22"/>
          <w:lang w:val="sv-SE" w:bidi="sv-SE"/>
        </w:rPr>
        <w:t>Regler om offentliggörande</w:t>
      </w:r>
      <w:r w:rsidRPr="008049D2">
        <w:rPr>
          <w:sz w:val="22"/>
          <w:lang w:val="sv-SE" w:bidi="sv-SE"/>
        </w:rPr>
        <w:t>") syftar till att ge investerare mer insyn i hållbarhetsriskintegration, om beaktande av negativa hållbarhetseffekter i investeringsprocesserna om främjande av miljömässiga, sociala och/eller faktorer för bolagsstyrning (“</w:t>
      </w:r>
      <w:r w:rsidRPr="008049D2">
        <w:rPr>
          <w:b/>
          <w:sz w:val="22"/>
          <w:lang w:val="sv-SE" w:bidi="sv-SE"/>
        </w:rPr>
        <w:t>ESG</w:t>
      </w:r>
      <w:r w:rsidRPr="008049D2">
        <w:rPr>
          <w:sz w:val="22"/>
          <w:lang w:val="sv-SE" w:bidi="sv-SE"/>
        </w:rPr>
        <w:t xml:space="preserve">”) och om att ha ett hållbart investeringsmål. Det kräver särskilt att fondförvaltare och rådgivare lämnar ut specifik ESG-relaterad information till investerare på sina webbplatser. </w:t>
      </w:r>
    </w:p>
    <w:p w14:paraId="3805DDAF" w14:textId="77777777" w:rsidR="00E15BBA" w:rsidRPr="00FF5A71" w:rsidRDefault="00E15BBA" w:rsidP="00E15BBA">
      <w:pPr>
        <w:pStyle w:val="ListParagraph"/>
        <w:spacing w:after="200" w:line="276" w:lineRule="auto"/>
        <w:ind w:left="0"/>
        <w:jc w:val="both"/>
        <w:rPr>
          <w:sz w:val="22"/>
          <w:szCs w:val="22"/>
          <w:lang w:val="sv-SE"/>
        </w:rPr>
      </w:pPr>
    </w:p>
    <w:p w14:paraId="54165F7C" w14:textId="77777777" w:rsidR="00E15BBA" w:rsidRPr="00FF5A71" w:rsidRDefault="00E15BBA" w:rsidP="00E15BBA">
      <w:pPr>
        <w:pStyle w:val="ListParagraph"/>
        <w:spacing w:after="200" w:line="276" w:lineRule="auto"/>
        <w:ind w:left="0"/>
        <w:jc w:val="both"/>
        <w:rPr>
          <w:sz w:val="22"/>
          <w:szCs w:val="22"/>
          <w:lang w:val="sv-SE"/>
        </w:rPr>
      </w:pPr>
      <w:r w:rsidRPr="00E576C1">
        <w:rPr>
          <w:sz w:val="22"/>
          <w:lang w:val="sv-SE" w:bidi="sv-SE"/>
        </w:rPr>
        <w:t>Regler om offentliggörande kommer att kompletteras av EU:s genomförandeåtgärder (så kallade regeltekniska standarder eller "</w:t>
      </w:r>
      <w:r w:rsidRPr="00E576C1">
        <w:rPr>
          <w:b/>
          <w:sz w:val="22"/>
          <w:lang w:val="sv-SE" w:bidi="sv-SE"/>
        </w:rPr>
        <w:t>RTS</w:t>
      </w:r>
      <w:r w:rsidRPr="00E576C1">
        <w:rPr>
          <w:sz w:val="22"/>
          <w:lang w:val="sv-SE" w:bidi="sv-SE"/>
        </w:rPr>
        <w:t xml:space="preserve">") från och med den 1 januari 2023. Alla hållbarhetsrelaterade upplysningar häri är därför baserade på den slutliga RTS som publicerades av de europeiska tillsynsmyndigheterna den 6 april 2022. </w:t>
      </w:r>
    </w:p>
    <w:p w14:paraId="7959FAE0" w14:textId="77777777" w:rsidR="00E15BBA" w:rsidRPr="00FF5A71" w:rsidRDefault="00E15BBA" w:rsidP="00E15BBA">
      <w:pPr>
        <w:pStyle w:val="ListParagraph"/>
        <w:spacing w:after="200" w:line="276" w:lineRule="auto"/>
        <w:ind w:left="0"/>
        <w:jc w:val="both"/>
        <w:rPr>
          <w:sz w:val="22"/>
          <w:szCs w:val="22"/>
          <w:lang w:val="sv-SE"/>
        </w:rPr>
      </w:pPr>
    </w:p>
    <w:p w14:paraId="0BFA539F" w14:textId="77777777" w:rsidR="00E15BBA" w:rsidRPr="00FF5A71" w:rsidRDefault="00E15BBA" w:rsidP="00E15BBA">
      <w:pPr>
        <w:pStyle w:val="ListParagraph"/>
        <w:spacing w:after="200" w:line="276" w:lineRule="auto"/>
        <w:ind w:left="0"/>
        <w:jc w:val="both"/>
        <w:rPr>
          <w:sz w:val="22"/>
          <w:szCs w:val="22"/>
          <w:lang w:val="sv-SE"/>
        </w:rPr>
      </w:pPr>
      <w:r w:rsidRPr="00AD2C96">
        <w:rPr>
          <w:sz w:val="22"/>
          <w:lang w:val="sv-SE" w:bidi="sv-SE"/>
        </w:rPr>
        <w:t>BLUEEARTH CLIMATE GROWTH FUND I (klimattillväxtfond), S.C.A., SICAV-RAIF (”</w:t>
      </w:r>
      <w:r w:rsidRPr="00AD2C96">
        <w:rPr>
          <w:b/>
          <w:sz w:val="22"/>
          <w:lang w:val="sv-SE" w:bidi="sv-SE"/>
        </w:rPr>
        <w:t>fonden</w:t>
      </w:r>
      <w:r w:rsidRPr="00AD2C96">
        <w:rPr>
          <w:sz w:val="22"/>
          <w:lang w:val="sv-SE" w:bidi="sv-SE"/>
        </w:rPr>
        <w:t xml:space="preserve">”) bildas för att investera i private </w:t>
      </w:r>
      <w:proofErr w:type="spellStart"/>
      <w:r w:rsidRPr="00AD2C96">
        <w:rPr>
          <w:sz w:val="22"/>
          <w:lang w:val="sv-SE" w:bidi="sv-SE"/>
        </w:rPr>
        <w:t>equity</w:t>
      </w:r>
      <w:proofErr w:type="spellEnd"/>
      <w:r w:rsidRPr="00AD2C96">
        <w:rPr>
          <w:sz w:val="22"/>
          <w:lang w:val="sv-SE" w:bidi="sv-SE"/>
        </w:rPr>
        <w:t xml:space="preserve">. Fonden förvaltas av dess förvaltare av alternativa investeringsfonder, Alter Domus Management Company </w:t>
      </w:r>
      <w:proofErr w:type="gramStart"/>
      <w:r w:rsidRPr="00AD2C96">
        <w:rPr>
          <w:sz w:val="22"/>
          <w:lang w:val="sv-SE" w:bidi="sv-SE"/>
        </w:rPr>
        <w:t>S.A..</w:t>
      </w:r>
      <w:proofErr w:type="gramEnd"/>
      <w:r w:rsidRPr="00AD2C96">
        <w:rPr>
          <w:sz w:val="22"/>
          <w:lang w:val="sv-SE" w:bidi="sv-SE"/>
        </w:rPr>
        <w:t xml:space="preserve"> (”</w:t>
      </w:r>
      <w:r w:rsidRPr="00AD2C96">
        <w:rPr>
          <w:b/>
          <w:sz w:val="22"/>
          <w:lang w:val="sv-SE" w:bidi="sv-SE"/>
        </w:rPr>
        <w:t>förvaltaren</w:t>
      </w:r>
      <w:r w:rsidRPr="00AD2C96">
        <w:rPr>
          <w:sz w:val="22"/>
          <w:lang w:val="sv-SE" w:bidi="sv-SE"/>
        </w:rPr>
        <w:t xml:space="preserve">”). Blue Earth </w:t>
      </w:r>
      <w:proofErr w:type="spellStart"/>
      <w:r w:rsidRPr="00AD2C96">
        <w:rPr>
          <w:sz w:val="22"/>
          <w:lang w:val="sv-SE" w:bidi="sv-SE"/>
        </w:rPr>
        <w:t>Capital</w:t>
      </w:r>
      <w:proofErr w:type="spellEnd"/>
      <w:r w:rsidRPr="00AD2C96">
        <w:rPr>
          <w:sz w:val="22"/>
          <w:lang w:val="sv-SE" w:bidi="sv-SE"/>
        </w:rPr>
        <w:t xml:space="preserve"> AG agerar i egenskap av rådgivare till förvaltaren (”</w:t>
      </w:r>
      <w:r w:rsidRPr="00AD2C96">
        <w:rPr>
          <w:b/>
          <w:sz w:val="22"/>
          <w:lang w:val="sv-SE" w:bidi="sv-SE"/>
        </w:rPr>
        <w:t>rådgivaren</w:t>
      </w:r>
      <w:r w:rsidRPr="00AD2C96">
        <w:rPr>
          <w:sz w:val="22"/>
          <w:lang w:val="sv-SE" w:bidi="sv-SE"/>
        </w:rPr>
        <w:t>”). Nedanstående information från förvaltaren är baserad på rådgivning, information och rekommendationer från rådgivaren. För att uppnå fondens hållbara investeringsmål är förvaltaren förpliktigad att investera på ett ansvarsfullt sätt genom att aktivt integrera ESG-överväganden i sitt val av investeringar och det löpande förfarandet för övervakning.</w:t>
      </w:r>
    </w:p>
    <w:p w14:paraId="1D66B223" w14:textId="77777777" w:rsidR="00E15BBA" w:rsidRPr="00FF5A71" w:rsidRDefault="00E15BBA" w:rsidP="00E15BBA">
      <w:pPr>
        <w:pStyle w:val="ListParagraph"/>
        <w:spacing w:after="200" w:line="276" w:lineRule="auto"/>
        <w:ind w:left="0"/>
        <w:jc w:val="both"/>
        <w:rPr>
          <w:sz w:val="22"/>
          <w:szCs w:val="22"/>
          <w:lang w:val="sv-SE"/>
        </w:rPr>
      </w:pPr>
    </w:p>
    <w:p w14:paraId="07CCA51C" w14:textId="77777777" w:rsidR="00E15BBA" w:rsidRPr="00FF5A71" w:rsidRDefault="00E15BBA" w:rsidP="00E15BBA">
      <w:pPr>
        <w:pStyle w:val="ListParagraph"/>
        <w:spacing w:after="200" w:line="276" w:lineRule="auto"/>
        <w:ind w:left="0"/>
        <w:jc w:val="both"/>
        <w:rPr>
          <w:sz w:val="22"/>
          <w:szCs w:val="22"/>
          <w:lang w:val="sv-SE"/>
        </w:rPr>
      </w:pPr>
      <w:r w:rsidRPr="006A147A">
        <w:rPr>
          <w:sz w:val="22"/>
          <w:lang w:val="sv-SE" w:bidi="sv-SE"/>
        </w:rPr>
        <w:t xml:space="preserve">Fondens mål för hållbara investeringar är att bidra till aktiviteter som försöker påskynda övergången till </w:t>
      </w:r>
      <w:proofErr w:type="spellStart"/>
      <w:r w:rsidRPr="006A147A">
        <w:rPr>
          <w:sz w:val="22"/>
          <w:lang w:val="sv-SE" w:bidi="sv-SE"/>
        </w:rPr>
        <w:t>nettonoll</w:t>
      </w:r>
      <w:proofErr w:type="spellEnd"/>
      <w:r w:rsidRPr="006A147A">
        <w:rPr>
          <w:sz w:val="22"/>
          <w:lang w:val="sv-SE" w:bidi="sv-SE"/>
        </w:rPr>
        <w:t>, förbättra samhällets motståndskraft mot klimatförändringar och att främja resurseffektivitet. Fonden kommer att överväga huvudsakliga negativa konsekvenser för hållbarhet (”</w:t>
      </w:r>
      <w:proofErr w:type="spellStart"/>
      <w:r w:rsidRPr="006A147A">
        <w:rPr>
          <w:b/>
          <w:sz w:val="22"/>
          <w:lang w:val="sv-SE" w:bidi="sv-SE"/>
        </w:rPr>
        <w:t>PASI:er</w:t>
      </w:r>
      <w:proofErr w:type="spellEnd"/>
      <w:r w:rsidRPr="006A147A">
        <w:rPr>
          <w:sz w:val="22"/>
          <w:lang w:val="sv-SE" w:bidi="sv-SE"/>
        </w:rPr>
        <w:t xml:space="preserve">”) enligt definitionen i SFDR och dokumenterad i bilaga I till RTS. Förvaltaren gör en första bedömning av indikatorer för </w:t>
      </w:r>
      <w:proofErr w:type="spellStart"/>
      <w:r w:rsidRPr="006A147A">
        <w:rPr>
          <w:sz w:val="22"/>
          <w:lang w:val="sv-SE" w:bidi="sv-SE"/>
        </w:rPr>
        <w:t>PASI:er</w:t>
      </w:r>
      <w:proofErr w:type="spellEnd"/>
      <w:r w:rsidRPr="006A147A">
        <w:rPr>
          <w:sz w:val="22"/>
          <w:lang w:val="sv-SE" w:bidi="sv-SE"/>
        </w:rPr>
        <w:t xml:space="preserve"> som en del av den </w:t>
      </w:r>
      <w:proofErr w:type="spellStart"/>
      <w:r w:rsidRPr="006A147A">
        <w:rPr>
          <w:sz w:val="22"/>
          <w:lang w:val="sv-SE" w:bidi="sv-SE"/>
        </w:rPr>
        <w:t>due</w:t>
      </w:r>
      <w:proofErr w:type="spellEnd"/>
      <w:r w:rsidRPr="006A147A">
        <w:rPr>
          <w:sz w:val="22"/>
          <w:lang w:val="sv-SE" w:bidi="sv-SE"/>
        </w:rPr>
        <w:t xml:space="preserve"> </w:t>
      </w:r>
      <w:proofErr w:type="spellStart"/>
      <w:r w:rsidRPr="006A147A">
        <w:rPr>
          <w:sz w:val="22"/>
          <w:lang w:val="sv-SE" w:bidi="sv-SE"/>
        </w:rPr>
        <w:t>diligence</w:t>
      </w:r>
      <w:proofErr w:type="spellEnd"/>
      <w:r w:rsidRPr="006A147A">
        <w:rPr>
          <w:sz w:val="22"/>
          <w:lang w:val="sv-SE" w:bidi="sv-SE"/>
        </w:rPr>
        <w:t xml:space="preserve"> av ESG som genomförs för varje </w:t>
      </w:r>
      <w:proofErr w:type="spellStart"/>
      <w:proofErr w:type="gramStart"/>
      <w:r w:rsidRPr="006A147A">
        <w:rPr>
          <w:sz w:val="22"/>
          <w:lang w:val="sv-SE" w:bidi="sv-SE"/>
        </w:rPr>
        <w:t>investering.Dessutom</w:t>
      </w:r>
      <w:proofErr w:type="spellEnd"/>
      <w:proofErr w:type="gramEnd"/>
      <w:r w:rsidRPr="006A147A">
        <w:rPr>
          <w:sz w:val="22"/>
          <w:lang w:val="sv-SE" w:bidi="sv-SE"/>
        </w:rPr>
        <w:t xml:space="preserve"> följer fonden en omfattande konsekvensbedömning innehållandes en analys av riskfaktorer baserad på IMP</w:t>
      </w:r>
      <w:r>
        <w:rPr>
          <w:rStyle w:val="FootnoteReference"/>
          <w:sz w:val="22"/>
          <w:lang w:val="sv-SE" w:bidi="sv-SE"/>
        </w:rPr>
        <w:footnoteReference w:id="11"/>
      </w:r>
      <w:r w:rsidRPr="006A147A">
        <w:rPr>
          <w:sz w:val="22"/>
          <w:lang w:val="sv-SE" w:bidi="sv-SE"/>
        </w:rPr>
        <w:t xml:space="preserve">-metoden. </w:t>
      </w:r>
    </w:p>
    <w:p w14:paraId="50E6E615" w14:textId="77777777" w:rsidR="00E15BBA" w:rsidRPr="00FF5A71" w:rsidRDefault="00E15BBA" w:rsidP="00E15BBA">
      <w:pPr>
        <w:pStyle w:val="ListParagraph"/>
        <w:spacing w:after="200" w:line="276" w:lineRule="auto"/>
        <w:ind w:left="0"/>
        <w:jc w:val="both"/>
        <w:rPr>
          <w:sz w:val="22"/>
          <w:szCs w:val="22"/>
          <w:lang w:val="sv-SE"/>
        </w:rPr>
      </w:pPr>
    </w:p>
    <w:p w14:paraId="45159556" w14:textId="77777777" w:rsidR="00E15BBA" w:rsidRPr="00FF5A71" w:rsidRDefault="00E15BBA" w:rsidP="00E15BBA">
      <w:pPr>
        <w:pStyle w:val="ListParagraph"/>
        <w:spacing w:after="200" w:line="276" w:lineRule="auto"/>
        <w:ind w:left="0"/>
        <w:jc w:val="both"/>
        <w:rPr>
          <w:sz w:val="22"/>
          <w:szCs w:val="22"/>
          <w:lang w:val="sv-SE"/>
        </w:rPr>
      </w:pPr>
      <w:r w:rsidRPr="006F3874">
        <w:rPr>
          <w:sz w:val="22"/>
          <w:lang w:val="sv-SE" w:bidi="sv-SE"/>
        </w:rPr>
        <w:t>Fonden har en privatmarknadsstrategi som syftar till att både generera positiv finansiell avkastning och till att uppnå positiv klimatpåverkan. Fondens mål är att investera i miljötillgångar, kvalificerade som hållbara investeringar enligt SFDR. För att uppnå dessa mål integrerar fonden konsekvensöverväganden under hela investeringslivscykeln, inklusive en förstklassig konsekvensbedömning och rapporteringsmetod.</w:t>
      </w:r>
    </w:p>
    <w:p w14:paraId="680ED8AF" w14:textId="77777777" w:rsidR="00E15BBA" w:rsidRPr="00FF5A71" w:rsidRDefault="00E15BBA" w:rsidP="00E15BBA">
      <w:pPr>
        <w:pStyle w:val="ListParagraph"/>
        <w:spacing w:after="200" w:line="276" w:lineRule="auto"/>
        <w:ind w:left="0"/>
        <w:jc w:val="both"/>
        <w:rPr>
          <w:sz w:val="22"/>
          <w:szCs w:val="22"/>
          <w:lang w:val="sv-SE"/>
        </w:rPr>
      </w:pPr>
    </w:p>
    <w:p w14:paraId="1C9BA69D" w14:textId="77777777" w:rsidR="00E15BBA" w:rsidRPr="00FF5A71" w:rsidRDefault="00E15BBA" w:rsidP="00E15BBA">
      <w:pPr>
        <w:pStyle w:val="ListParagraph"/>
        <w:spacing w:after="200" w:line="276" w:lineRule="auto"/>
        <w:ind w:left="0"/>
        <w:jc w:val="both"/>
        <w:rPr>
          <w:sz w:val="22"/>
          <w:szCs w:val="22"/>
          <w:lang w:val="sv-SE"/>
        </w:rPr>
      </w:pPr>
      <w:r w:rsidRPr="006F3874">
        <w:rPr>
          <w:sz w:val="22"/>
          <w:lang w:val="sv-SE" w:bidi="sv-SE"/>
        </w:rPr>
        <w:t>Förvaltaren investerar i tillväxten av attraktiva företag med en beprövad affärsmodell, hög utvecklingspotential och en mätbar och skalbar klimatpåverkan. Fonden kommer att investera i följande nyckelteman för att ge en meningsfull klimatpåverkan: ekosystem för energiomställning; byggnader och mobilitet; klimatintelligens; produktion och konsumtion; och mat och agrikultur. Investeringsstrategier definieras för varje prioriterad sektor utifrån affärsmodellernas långsiktiga hållbarhet, tillväxt/värdeskapande möjligheter, samt omfattning och påverkansdjup.</w:t>
      </w:r>
    </w:p>
    <w:p w14:paraId="1A53A43D" w14:textId="77777777" w:rsidR="00E15BBA" w:rsidRPr="00FF5A71" w:rsidRDefault="00E15BBA" w:rsidP="00E15BBA">
      <w:pPr>
        <w:pStyle w:val="ListParagraph"/>
        <w:spacing w:after="200" w:line="276" w:lineRule="auto"/>
        <w:ind w:left="0"/>
        <w:jc w:val="both"/>
        <w:rPr>
          <w:sz w:val="22"/>
          <w:szCs w:val="22"/>
          <w:lang w:val="sv-SE"/>
        </w:rPr>
      </w:pPr>
    </w:p>
    <w:p w14:paraId="15D06B6A" w14:textId="77777777" w:rsidR="00E15BBA" w:rsidRPr="00FF5A71" w:rsidRDefault="00E15BBA" w:rsidP="00E15BBA">
      <w:pPr>
        <w:pStyle w:val="ListParagraph"/>
        <w:spacing w:after="200" w:line="276" w:lineRule="auto"/>
        <w:ind w:left="0"/>
        <w:jc w:val="both"/>
        <w:rPr>
          <w:sz w:val="22"/>
          <w:szCs w:val="22"/>
          <w:lang w:val="sv-SE"/>
        </w:rPr>
      </w:pPr>
      <w:r>
        <w:rPr>
          <w:sz w:val="22"/>
          <w:lang w:val="sv-SE" w:bidi="sv-SE"/>
        </w:rPr>
        <w:t xml:space="preserve">Fonden </w:t>
      </w:r>
      <w:proofErr w:type="gramStart"/>
      <w:r>
        <w:rPr>
          <w:sz w:val="22"/>
          <w:lang w:val="sv-SE" w:bidi="sv-SE"/>
        </w:rPr>
        <w:t>investerar :</w:t>
      </w:r>
      <w:proofErr w:type="gramEnd"/>
      <w:r>
        <w:rPr>
          <w:sz w:val="22"/>
          <w:lang w:val="sv-SE" w:bidi="sv-SE"/>
        </w:rPr>
        <w:t xml:space="preserve"> (i) 90 % i miljömässigt hållbara investeringar; och (ii) 10 % i andra investeringar som kommer att bestå av en kassa som används för effektiv likviditet och effektiv portföljförvaltning eller kostnadshantering. Det noteras att kassan ständigt kommer att fluktuera och inte kommer att påverka fondens hållbara mål. </w:t>
      </w:r>
    </w:p>
    <w:p w14:paraId="77B57E46" w14:textId="77777777" w:rsidR="00E15BBA" w:rsidRPr="00FF5A71" w:rsidRDefault="00E15BBA" w:rsidP="00E15BBA">
      <w:pPr>
        <w:pStyle w:val="ListParagraph"/>
        <w:spacing w:after="200" w:line="276" w:lineRule="auto"/>
        <w:ind w:left="0"/>
        <w:jc w:val="both"/>
        <w:rPr>
          <w:sz w:val="22"/>
          <w:szCs w:val="22"/>
          <w:lang w:val="sv-SE"/>
        </w:rPr>
      </w:pPr>
    </w:p>
    <w:p w14:paraId="08BA2930" w14:textId="77777777" w:rsidR="00E15BBA" w:rsidRPr="00FF5A71" w:rsidRDefault="00E15BBA" w:rsidP="00E15BBA">
      <w:pPr>
        <w:pStyle w:val="ListParagraph"/>
        <w:spacing w:after="200" w:line="276" w:lineRule="auto"/>
        <w:ind w:left="0"/>
        <w:jc w:val="both"/>
        <w:rPr>
          <w:sz w:val="22"/>
          <w:szCs w:val="22"/>
          <w:lang w:val="sv-SE"/>
        </w:rPr>
      </w:pPr>
      <w:r w:rsidRPr="00A621D8">
        <w:rPr>
          <w:sz w:val="22"/>
          <w:lang w:val="sv-SE" w:bidi="sv-SE"/>
        </w:rPr>
        <w:t>Förvaltaren kommer på regelbunden basis att göra en kvalitativ bedömning av indikatorer för hållbarhet och kommer aktivt att övervaka indikatorer för hållbarhet och ESG-incidenter och kommer att granska ESG-framsteg på årsbasis.</w:t>
      </w:r>
    </w:p>
    <w:p w14:paraId="68CABD53" w14:textId="77777777" w:rsidR="00E15BBA" w:rsidRPr="00FF5A71" w:rsidRDefault="00E15BBA" w:rsidP="00E15BBA">
      <w:pPr>
        <w:pStyle w:val="ListParagraph"/>
        <w:spacing w:after="200" w:line="276" w:lineRule="auto"/>
        <w:ind w:left="0"/>
        <w:jc w:val="both"/>
        <w:rPr>
          <w:sz w:val="22"/>
          <w:szCs w:val="22"/>
          <w:lang w:val="sv-SE"/>
        </w:rPr>
      </w:pPr>
    </w:p>
    <w:p w14:paraId="44CDFD68" w14:textId="77777777" w:rsidR="00E15BBA" w:rsidRPr="00FF5A71" w:rsidRDefault="00E15BBA" w:rsidP="00E15BBA">
      <w:pPr>
        <w:pStyle w:val="ListParagraph"/>
        <w:spacing w:after="200" w:line="276" w:lineRule="auto"/>
        <w:ind w:left="0"/>
        <w:jc w:val="both"/>
        <w:rPr>
          <w:sz w:val="22"/>
          <w:szCs w:val="22"/>
          <w:lang w:val="sv-SE"/>
        </w:rPr>
      </w:pPr>
      <w:r>
        <w:rPr>
          <w:sz w:val="22"/>
          <w:lang w:val="sv-SE" w:bidi="sv-SE"/>
        </w:rPr>
        <w:t xml:space="preserve">Förvaltarens inverkan och ESG-bedömning och förvaltningsmetodik är baserad på följande verktyg: (1) </w:t>
      </w:r>
      <w:proofErr w:type="spellStart"/>
      <w:r>
        <w:rPr>
          <w:sz w:val="22"/>
          <w:lang w:val="sv-SE" w:bidi="sv-SE"/>
        </w:rPr>
        <w:t>Impact</w:t>
      </w:r>
      <w:proofErr w:type="spellEnd"/>
      <w:r>
        <w:rPr>
          <w:sz w:val="22"/>
          <w:lang w:val="sv-SE" w:bidi="sv-SE"/>
        </w:rPr>
        <w:t xml:space="preserve"> Management Project; (2) Logisk modell ("förändringsteori"); (3) Förenta nationernas mål för hållbar utveckling; (4) IRIS-mått; och </w:t>
      </w:r>
      <w:proofErr w:type="spellStart"/>
      <w:r>
        <w:rPr>
          <w:sz w:val="22"/>
          <w:lang w:val="sv-SE" w:bidi="sv-SE"/>
        </w:rPr>
        <w:t>due</w:t>
      </w:r>
      <w:proofErr w:type="spellEnd"/>
      <w:r>
        <w:rPr>
          <w:sz w:val="22"/>
          <w:lang w:val="sv-SE" w:bidi="sv-SE"/>
        </w:rPr>
        <w:t xml:space="preserve"> </w:t>
      </w:r>
      <w:proofErr w:type="spellStart"/>
      <w:r>
        <w:rPr>
          <w:sz w:val="22"/>
          <w:lang w:val="sv-SE" w:bidi="sv-SE"/>
        </w:rPr>
        <w:t>diligence</w:t>
      </w:r>
      <w:proofErr w:type="spellEnd"/>
      <w:r>
        <w:rPr>
          <w:sz w:val="22"/>
          <w:lang w:val="sv-SE" w:bidi="sv-SE"/>
        </w:rPr>
        <w:t>-verktyg för ESG.</w:t>
      </w:r>
    </w:p>
    <w:p w14:paraId="2D7F59F8" w14:textId="77777777" w:rsidR="00E15BBA" w:rsidRPr="00FF5A71" w:rsidRDefault="00E15BBA" w:rsidP="00E15BBA">
      <w:pPr>
        <w:pStyle w:val="ListParagraph"/>
        <w:spacing w:after="200" w:line="276" w:lineRule="auto"/>
        <w:ind w:left="0"/>
        <w:jc w:val="both"/>
        <w:rPr>
          <w:sz w:val="22"/>
          <w:szCs w:val="22"/>
          <w:lang w:val="sv-SE"/>
        </w:rPr>
      </w:pPr>
    </w:p>
    <w:p w14:paraId="09AB5B1C" w14:textId="77777777" w:rsidR="00E15BBA" w:rsidRPr="00FF5A71" w:rsidRDefault="00E15BBA" w:rsidP="00E15BBA">
      <w:pPr>
        <w:pStyle w:val="ListParagraph"/>
        <w:spacing w:after="200" w:line="276" w:lineRule="auto"/>
        <w:ind w:left="0"/>
        <w:jc w:val="both"/>
        <w:rPr>
          <w:sz w:val="22"/>
          <w:szCs w:val="22"/>
          <w:lang w:val="sv-SE"/>
        </w:rPr>
      </w:pPr>
      <w:r>
        <w:rPr>
          <w:sz w:val="22"/>
          <w:lang w:val="sv-SE" w:bidi="sv-SE"/>
        </w:rPr>
        <w:t xml:space="preserve">Investeringar kommer att väljas först efter flera utvärderingspunkter under investeringslivscykeln, från köp av affärer och </w:t>
      </w:r>
      <w:proofErr w:type="spellStart"/>
      <w:r>
        <w:rPr>
          <w:sz w:val="22"/>
          <w:lang w:val="sv-SE" w:bidi="sv-SE"/>
        </w:rPr>
        <w:t>due</w:t>
      </w:r>
      <w:proofErr w:type="spellEnd"/>
      <w:r>
        <w:rPr>
          <w:sz w:val="22"/>
          <w:lang w:val="sv-SE" w:bidi="sv-SE"/>
        </w:rPr>
        <w:t xml:space="preserve"> </w:t>
      </w:r>
      <w:proofErr w:type="spellStart"/>
      <w:r>
        <w:rPr>
          <w:sz w:val="22"/>
          <w:lang w:val="sv-SE" w:bidi="sv-SE"/>
        </w:rPr>
        <w:t>diligence</w:t>
      </w:r>
      <w:proofErr w:type="spellEnd"/>
      <w:r>
        <w:rPr>
          <w:sz w:val="22"/>
          <w:lang w:val="sv-SE" w:bidi="sv-SE"/>
        </w:rPr>
        <w:t xml:space="preserve"> till exit, för deras potential att generera miljömässig och social påverkan i linje med fondens mandat och fondens hållbara investeringsmål.</w:t>
      </w:r>
    </w:p>
    <w:p w14:paraId="0DD2F6C0" w14:textId="77777777" w:rsidR="00E15BBA" w:rsidRPr="00FF5A71" w:rsidRDefault="00E15BBA" w:rsidP="00E15BBA">
      <w:pPr>
        <w:pStyle w:val="ListParagraph"/>
        <w:spacing w:after="200" w:line="276" w:lineRule="auto"/>
        <w:ind w:left="0"/>
        <w:jc w:val="both"/>
        <w:rPr>
          <w:sz w:val="22"/>
          <w:szCs w:val="22"/>
          <w:lang w:val="sv-SE"/>
        </w:rPr>
      </w:pPr>
    </w:p>
    <w:p w14:paraId="7150D25A" w14:textId="77777777" w:rsidR="00E15BBA" w:rsidRPr="00FF5A71" w:rsidRDefault="00E15BBA" w:rsidP="00E15BBA">
      <w:pPr>
        <w:pStyle w:val="ListParagraph"/>
        <w:spacing w:after="200" w:line="276" w:lineRule="auto"/>
        <w:ind w:left="0"/>
        <w:jc w:val="both"/>
        <w:rPr>
          <w:sz w:val="22"/>
          <w:szCs w:val="22"/>
          <w:lang w:val="sv-SE"/>
        </w:rPr>
      </w:pPr>
      <w:r w:rsidRPr="008049D2">
        <w:rPr>
          <w:sz w:val="22"/>
          <w:lang w:val="sv-SE" w:bidi="sv-SE"/>
        </w:rPr>
        <w:t>Fonden följer en aktiv investeringsförvaltningsstrategi och investerar inte med hänvisning till något index och har inte för avsikt att göra det.</w:t>
      </w:r>
    </w:p>
    <w:p w14:paraId="44A2C626" w14:textId="77777777" w:rsidR="00E15BBA" w:rsidRPr="00FF5A71" w:rsidRDefault="00E15BBA" w:rsidP="00E15BBA">
      <w:pPr>
        <w:pStyle w:val="ListParagraph"/>
        <w:rPr>
          <w:sz w:val="22"/>
          <w:szCs w:val="22"/>
          <w:lang w:val="sv-SE"/>
        </w:rPr>
      </w:pPr>
    </w:p>
    <w:p w14:paraId="33987899" w14:textId="77777777" w:rsidR="00E15BBA" w:rsidRPr="00FF5A71" w:rsidRDefault="00E15BBA" w:rsidP="00E15BBA">
      <w:pPr>
        <w:pStyle w:val="ListParagraph"/>
        <w:rPr>
          <w:sz w:val="22"/>
          <w:szCs w:val="22"/>
          <w:lang w:val="sv-SE"/>
        </w:rPr>
      </w:pPr>
    </w:p>
    <w:p w14:paraId="7B57426C" w14:textId="77777777" w:rsidR="00E15BBA" w:rsidRPr="006F084A" w:rsidRDefault="00E15BBA" w:rsidP="00E15BBA">
      <w:pPr>
        <w:pStyle w:val="ListParagraph"/>
        <w:rPr>
          <w:sz w:val="22"/>
          <w:szCs w:val="22"/>
          <w:lang w:val="sv-SE"/>
        </w:rPr>
      </w:pPr>
    </w:p>
    <w:p w14:paraId="0DC9FD0B" w14:textId="77777777" w:rsidR="000D0468" w:rsidRPr="00E15BBA" w:rsidRDefault="000D0468" w:rsidP="009312B4">
      <w:pPr>
        <w:rPr>
          <w:sz w:val="22"/>
          <w:szCs w:val="22"/>
          <w:lang w:val="sv-SE"/>
        </w:rPr>
      </w:pPr>
    </w:p>
    <w:sectPr w:rsidR="000D0468" w:rsidRPr="00E15BBA" w:rsidSect="00FD70CB">
      <w:footerReference w:type="default" r:id="rId13"/>
      <w:footerReference w:type="first" r:id="rId14"/>
      <w:pgSz w:w="11906" w:h="16838" w:code="9"/>
      <w:pgMar w:top="1843" w:right="1134" w:bottom="1276" w:left="1701" w:header="1134" w:footer="595" w:gutter="0"/>
      <w:cols w:space="567"/>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B745A" w14:textId="77777777" w:rsidR="00462F7C" w:rsidRDefault="00462F7C">
      <w:r>
        <w:separator/>
      </w:r>
    </w:p>
    <w:p w14:paraId="1C5B5E83" w14:textId="77777777" w:rsidR="00462F7C" w:rsidRDefault="00462F7C"/>
  </w:endnote>
  <w:endnote w:type="continuationSeparator" w:id="0">
    <w:p w14:paraId="21773456" w14:textId="77777777" w:rsidR="00462F7C" w:rsidRDefault="00462F7C">
      <w:r>
        <w:continuationSeparator/>
      </w:r>
    </w:p>
    <w:p w14:paraId="751F7C83" w14:textId="77777777" w:rsidR="00462F7C" w:rsidRDefault="00462F7C"/>
  </w:endnote>
  <w:endnote w:type="continuationNotice" w:id="1">
    <w:p w14:paraId="0707ACDF" w14:textId="77777777" w:rsidR="00462F7C" w:rsidRDefault="00462F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panose1 w:val="020F0302020204030203"/>
    <w:charset w:val="00"/>
    <w:family w:val="swiss"/>
    <w:pitch w:val="variable"/>
    <w:sig w:usb0="E10002FF" w:usb1="5000ECFF" w:usb2="00000021" w:usb3="00000000" w:csb0="0000019F" w:csb1="00000000"/>
    <w:embedRegular r:id="rId1" w:fontKey="{70F6CAD4-4E90-45F5-9934-3A751630C971}"/>
    <w:embedBold r:id="rId2" w:fontKey="{DA876143-A137-4AF7-9A26-27E857AB551E}"/>
    <w:embedItalic r:id="rId3" w:fontKey="{1D813846-DE82-4E34-B6D4-4AE67C3DCD40}"/>
    <w:embedBoldItalic r:id="rId4" w:fontKey="{2338D2FC-5971-4423-AEB2-488ABA938367}"/>
  </w:font>
  <w:font w:name="Lato">
    <w:panose1 w:val="020F0502020204030203"/>
    <w:charset w:val="00"/>
    <w:family w:val="swiss"/>
    <w:pitch w:val="variable"/>
    <w:sig w:usb0="A00000AF" w:usb1="5000604B" w:usb2="00000000" w:usb3="00000000" w:csb0="00000093" w:csb1="00000000"/>
    <w:embedRegular r:id="rId5" w:fontKey="{A080C5B8-7AFB-48B1-BC33-729D03C3EDDC}"/>
    <w:embedBold r:id="rId6" w:fontKey="{516AE292-AD45-49A6-9AE9-5D34B81BC6F4}"/>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292642F8-3079-4A0E-8747-1C790C5AA039}"/>
    <w:embedBold r:id="rId8" w:fontKey="{66E26380-3C28-4544-868E-38482EEAE972}"/>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04CE9683-9A71-4AAB-B2A5-C0394FC58497}"/>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Lato-Light">
    <w:panose1 w:val="00000000000000000000"/>
    <w:charset w:val="00"/>
    <w:family w:val="auto"/>
    <w:notTrueType/>
    <w:pitch w:val="default"/>
    <w:sig w:usb0="00000003" w:usb1="00000000" w:usb2="00000000" w:usb3="00000000" w:csb0="00000001" w:csb1="00000000"/>
  </w:font>
  <w:font w:name="Credit Suisse Type Roman">
    <w:altName w:val="Trebuchet MS"/>
    <w:charset w:val="00"/>
    <w:family w:val="swiss"/>
    <w:pitch w:val="variable"/>
    <w:sig w:usb0="00000001" w:usb1="5000204A"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7C277" w14:textId="5ECD33DD" w:rsidR="00C64D86" w:rsidRPr="006729F7" w:rsidRDefault="00C64D86" w:rsidP="00B81106">
    <w:pPr>
      <w:pStyle w:val="Footer"/>
      <w:jc w:val="right"/>
      <w:rPr>
        <w:noProof/>
      </w:rPr>
    </w:pPr>
    <w:r>
      <w:fldChar w:fldCharType="begin"/>
    </w:r>
    <w:r>
      <w:instrText xml:space="preserve"> PAGE   \* MERGEFORMAT </w:instrText>
    </w:r>
    <w:r>
      <w:fldChar w:fldCharType="separate"/>
    </w:r>
    <w:r w:rsidR="00A852F1">
      <w:rPr>
        <w:noProof/>
      </w:rPr>
      <w:t>23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A88A6" w14:textId="3E050772" w:rsidR="00C64D86" w:rsidRPr="006729F7" w:rsidRDefault="00C64D86" w:rsidP="00B81106">
    <w:pPr>
      <w:pStyle w:val="Footer"/>
      <w:jc w:val="right"/>
      <w:rPr>
        <w:noProof/>
      </w:rPr>
    </w:pPr>
    <w:r>
      <w:fldChar w:fldCharType="begin"/>
    </w:r>
    <w:r>
      <w:instrText xml:space="preserve"> PAGE   \* MERGEFORMAT </w:instrText>
    </w:r>
    <w:r>
      <w:fldChar w:fldCharType="separate"/>
    </w:r>
    <w:r w:rsidR="00A852F1">
      <w:rPr>
        <w:noProof/>
      </w:rPr>
      <w:t>1</w:t>
    </w:r>
    <w:r>
      <w:rPr>
        <w:noProof/>
      </w:rPr>
      <w:fldChar w:fldCharType="end"/>
    </w:r>
  </w:p>
  <w:p w14:paraId="7C547233" w14:textId="77777777" w:rsidR="00C64D86" w:rsidRDefault="00C64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F69C3" w14:textId="77777777" w:rsidR="00462F7C" w:rsidRDefault="00462F7C">
      <w:r>
        <w:separator/>
      </w:r>
    </w:p>
  </w:footnote>
  <w:footnote w:type="continuationSeparator" w:id="0">
    <w:p w14:paraId="0D1EFBFD" w14:textId="77777777" w:rsidR="00462F7C" w:rsidRDefault="00462F7C">
      <w:r>
        <w:continuationSeparator/>
      </w:r>
    </w:p>
    <w:p w14:paraId="78B5E329" w14:textId="77777777" w:rsidR="00462F7C" w:rsidRDefault="00462F7C"/>
  </w:footnote>
  <w:footnote w:type="continuationNotice" w:id="1">
    <w:p w14:paraId="34F1DC84" w14:textId="77777777" w:rsidR="00462F7C" w:rsidRDefault="00462F7C">
      <w:pPr>
        <w:spacing w:after="0" w:line="240" w:lineRule="auto"/>
      </w:pPr>
    </w:p>
  </w:footnote>
  <w:footnote w:id="2">
    <w:p w14:paraId="5A3E6C8E" w14:textId="04D99528" w:rsidR="00226A1F" w:rsidRPr="0050243E" w:rsidRDefault="00226A1F" w:rsidP="00226A1F">
      <w:pPr>
        <w:pStyle w:val="FootnoteText"/>
        <w:rPr>
          <w:i/>
          <w:iCs/>
          <w:sz w:val="16"/>
          <w:szCs w:val="16"/>
          <w:lang w:val="en-GB"/>
        </w:rPr>
      </w:pPr>
      <w:r w:rsidRPr="0050243E">
        <w:rPr>
          <w:rStyle w:val="FootnoteReference"/>
          <w:i/>
          <w:iCs/>
          <w:sz w:val="16"/>
          <w:szCs w:val="16"/>
        </w:rPr>
        <w:footnoteRef/>
      </w:r>
      <w:bookmarkStart w:id="3" w:name="_Hlk65770799"/>
      <w:r w:rsidRPr="0050243E">
        <w:rPr>
          <w:i/>
          <w:iCs/>
          <w:sz w:val="16"/>
          <w:szCs w:val="16"/>
        </w:rPr>
        <w:t xml:space="preserve">Impact Management Project; </w:t>
      </w:r>
      <w:hyperlink r:id="rId1" w:history="1">
        <w:r w:rsidRPr="0050243E">
          <w:rPr>
            <w:rStyle w:val="Hyperlink"/>
            <w:i/>
            <w:iCs/>
            <w:sz w:val="16"/>
            <w:szCs w:val="16"/>
          </w:rPr>
          <w:t>www.impactmanagementproject.com</w:t>
        </w:r>
      </w:hyperlink>
      <w:r w:rsidRPr="0050243E">
        <w:rPr>
          <w:i/>
          <w:iCs/>
          <w:sz w:val="16"/>
          <w:szCs w:val="16"/>
        </w:rPr>
        <w:t xml:space="preserve"> </w:t>
      </w:r>
      <w:bookmarkEnd w:id="3"/>
    </w:p>
  </w:footnote>
  <w:footnote w:id="3">
    <w:p w14:paraId="3A6C269F" w14:textId="0A800989" w:rsidR="001178F9" w:rsidRPr="0050243E" w:rsidRDefault="001178F9" w:rsidP="001178F9">
      <w:pPr>
        <w:pStyle w:val="FootnoteText"/>
        <w:jc w:val="both"/>
        <w:rPr>
          <w:i/>
          <w:iCs/>
          <w:sz w:val="16"/>
          <w:szCs w:val="16"/>
          <w:lang w:val="en-GB"/>
        </w:rPr>
      </w:pPr>
      <w:r w:rsidRPr="0050243E">
        <w:rPr>
          <w:rStyle w:val="FootnoteReference"/>
          <w:i/>
          <w:iCs/>
          <w:sz w:val="16"/>
          <w:szCs w:val="16"/>
        </w:rPr>
        <w:footnoteRef/>
      </w:r>
      <w:r w:rsidRPr="0050243E">
        <w:rPr>
          <w:i/>
          <w:iCs/>
          <w:sz w:val="16"/>
          <w:szCs w:val="16"/>
        </w:rPr>
        <w:tab/>
        <w:t>Sustainability risks (“</w:t>
      </w:r>
      <w:r w:rsidRPr="0050243E">
        <w:rPr>
          <w:b/>
          <w:bCs/>
          <w:i/>
          <w:iCs/>
          <w:sz w:val="16"/>
          <w:szCs w:val="16"/>
        </w:rPr>
        <w:t>Sustainability Risks</w:t>
      </w:r>
      <w:r w:rsidRPr="0050243E">
        <w:rPr>
          <w:i/>
          <w:iCs/>
          <w:sz w:val="16"/>
          <w:szCs w:val="16"/>
        </w:rPr>
        <w:t>”) are environmental, social or governance events or conditions that, if they occur, could cause an actual or a potential material negative impact on the value of the Fund’s portfolio and the returns of the Fund. Environmental risk factors could be (without limitation) events like earthquakes, climate change, flood risk or other environment-related factors. Social risk factors could be circumstances like social unrest, changes to social or labor laws or other social factors, and governance risks could be factors like bribery and corruption, compliance risks or similar. Sustainability Risks that could occur and which might potentially affect the performance of the Fund may vary from one Investment to another and no exhaustive list can be given, and these risks will also vary from time to time.</w:t>
      </w:r>
    </w:p>
  </w:footnote>
  <w:footnote w:id="4">
    <w:p w14:paraId="5D9C15F4" w14:textId="77777777" w:rsidR="00E15BBA" w:rsidRPr="00E15BBA" w:rsidRDefault="00E15BBA" w:rsidP="00E15BBA">
      <w:pPr>
        <w:pStyle w:val="FootnoteText"/>
        <w:rPr>
          <w:i/>
          <w:iCs/>
          <w:sz w:val="16"/>
          <w:szCs w:val="16"/>
          <w:lang w:val="fr-CH"/>
        </w:rPr>
      </w:pPr>
      <w:r w:rsidRPr="0050243E">
        <w:rPr>
          <w:rStyle w:val="FootnoteReference"/>
          <w:i/>
          <w:iCs/>
          <w:sz w:val="16"/>
          <w:szCs w:val="16"/>
        </w:rPr>
        <w:footnoteRef/>
      </w:r>
      <w:r w:rsidRPr="00E15BBA">
        <w:rPr>
          <w:i/>
          <w:iCs/>
          <w:sz w:val="16"/>
          <w:szCs w:val="16"/>
          <w:lang w:val="fr-CH"/>
        </w:rPr>
        <w:t xml:space="preserve">Impact Management </w:t>
      </w:r>
      <w:proofErr w:type="gramStart"/>
      <w:r w:rsidRPr="00E15BBA">
        <w:rPr>
          <w:i/>
          <w:iCs/>
          <w:sz w:val="16"/>
          <w:szCs w:val="16"/>
          <w:lang w:val="fr-CH"/>
        </w:rPr>
        <w:t>Project;</w:t>
      </w:r>
      <w:proofErr w:type="gramEnd"/>
      <w:r w:rsidRPr="00E15BBA">
        <w:rPr>
          <w:i/>
          <w:iCs/>
          <w:sz w:val="16"/>
          <w:szCs w:val="16"/>
          <w:lang w:val="fr-CH"/>
        </w:rPr>
        <w:t xml:space="preserve"> </w:t>
      </w:r>
      <w:hyperlink r:id="rId2" w:history="1">
        <w:r w:rsidRPr="00E15BBA">
          <w:rPr>
            <w:rStyle w:val="Hyperlink"/>
            <w:i/>
            <w:iCs/>
            <w:sz w:val="16"/>
            <w:szCs w:val="16"/>
            <w:lang w:val="fr-CH"/>
          </w:rPr>
          <w:t>www.impactmanagementproject.com</w:t>
        </w:r>
      </w:hyperlink>
      <w:r w:rsidRPr="00E15BBA">
        <w:rPr>
          <w:i/>
          <w:iCs/>
          <w:sz w:val="16"/>
          <w:szCs w:val="16"/>
          <w:lang w:val="fr-CH"/>
        </w:rPr>
        <w:t xml:space="preserve"> </w:t>
      </w:r>
    </w:p>
  </w:footnote>
  <w:footnote w:id="5">
    <w:p w14:paraId="4803210F" w14:textId="77777777" w:rsidR="00E15BBA" w:rsidRPr="00E15BBA" w:rsidRDefault="00E15BBA" w:rsidP="00E15BBA">
      <w:pPr>
        <w:pStyle w:val="FootnoteText"/>
        <w:rPr>
          <w:i/>
          <w:iCs/>
          <w:sz w:val="16"/>
          <w:szCs w:val="16"/>
          <w:lang w:val="fr-CH"/>
        </w:rPr>
      </w:pPr>
      <w:r w:rsidRPr="0050243E">
        <w:rPr>
          <w:rStyle w:val="FootnoteReference"/>
          <w:i/>
          <w:sz w:val="16"/>
          <w:lang w:val="de-DE" w:bidi="de-DE"/>
        </w:rPr>
        <w:footnoteRef/>
      </w:r>
      <w:r w:rsidRPr="00E15BBA">
        <w:rPr>
          <w:i/>
          <w:sz w:val="16"/>
          <w:lang w:val="fr-CH" w:bidi="de-DE"/>
        </w:rPr>
        <w:t xml:space="preserve">Impact Management </w:t>
      </w:r>
      <w:proofErr w:type="gramStart"/>
      <w:r w:rsidRPr="00E15BBA">
        <w:rPr>
          <w:i/>
          <w:sz w:val="16"/>
          <w:lang w:val="fr-CH" w:bidi="de-DE"/>
        </w:rPr>
        <w:t>Project;</w:t>
      </w:r>
      <w:proofErr w:type="gramEnd"/>
      <w:r w:rsidRPr="00E15BBA">
        <w:rPr>
          <w:i/>
          <w:sz w:val="16"/>
          <w:lang w:val="fr-CH" w:bidi="de-DE"/>
        </w:rPr>
        <w:t xml:space="preserve"> </w:t>
      </w:r>
      <w:hyperlink r:id="rId3" w:history="1">
        <w:r w:rsidRPr="00E15BBA">
          <w:rPr>
            <w:rStyle w:val="Hyperlink"/>
            <w:i/>
            <w:sz w:val="16"/>
            <w:lang w:val="fr-CH" w:bidi="de-DE"/>
          </w:rPr>
          <w:t>www.impactmanagementproject.com</w:t>
        </w:r>
      </w:hyperlink>
      <w:r w:rsidRPr="00E15BBA">
        <w:rPr>
          <w:i/>
          <w:sz w:val="16"/>
          <w:lang w:val="fr-CH" w:bidi="de-DE"/>
        </w:rPr>
        <w:t xml:space="preserve"> </w:t>
      </w:r>
    </w:p>
  </w:footnote>
  <w:footnote w:id="6">
    <w:p w14:paraId="3B181A1C" w14:textId="77777777" w:rsidR="00E15BBA" w:rsidRPr="002C092D" w:rsidRDefault="00E15BBA" w:rsidP="00E15BBA">
      <w:pPr>
        <w:pStyle w:val="FootnoteText"/>
        <w:rPr>
          <w:i/>
          <w:iCs/>
          <w:sz w:val="16"/>
          <w:szCs w:val="16"/>
          <w:lang w:val="fr-FR"/>
        </w:rPr>
      </w:pPr>
      <w:r w:rsidRPr="0050243E">
        <w:rPr>
          <w:rStyle w:val="FootnoteReference"/>
          <w:i/>
          <w:sz w:val="16"/>
          <w:lang w:val="fr-FR" w:bidi="fr-FR"/>
        </w:rPr>
        <w:footnoteRef/>
      </w:r>
      <w:r w:rsidRPr="0050243E">
        <w:rPr>
          <w:i/>
          <w:sz w:val="16"/>
          <w:lang w:val="fr-FR" w:bidi="fr-FR"/>
        </w:rPr>
        <w:t xml:space="preserve">Projet de gestion de l'impact </w:t>
      </w:r>
      <w:r w:rsidRPr="0050243E">
        <w:rPr>
          <w:rStyle w:val="FootnoteReference"/>
          <w:i/>
          <w:sz w:val="16"/>
          <w:lang w:val="fr-FR" w:bidi="fr-FR"/>
        </w:rPr>
        <w:t>(</w:t>
      </w:r>
      <w:r w:rsidRPr="0050243E">
        <w:rPr>
          <w:i/>
          <w:sz w:val="16"/>
          <w:lang w:val="fr-FR" w:bidi="fr-FR"/>
        </w:rPr>
        <w:t xml:space="preserve">Impact Management Project) ; </w:t>
      </w:r>
      <w:hyperlink r:id="rId4" w:history="1">
        <w:r w:rsidRPr="0050243E">
          <w:rPr>
            <w:rStyle w:val="Hyperlink"/>
            <w:i/>
            <w:sz w:val="16"/>
            <w:lang w:val="fr-FR" w:bidi="fr-FR"/>
          </w:rPr>
          <w:t>www.impactmanagementproject.com</w:t>
        </w:r>
      </w:hyperlink>
      <w:r w:rsidRPr="0050243E">
        <w:rPr>
          <w:i/>
          <w:sz w:val="16"/>
          <w:lang w:val="fr-FR" w:bidi="fr-FR"/>
        </w:rPr>
        <w:t xml:space="preserve"> </w:t>
      </w:r>
    </w:p>
  </w:footnote>
  <w:footnote w:id="7">
    <w:p w14:paraId="26AE7FF6" w14:textId="77777777" w:rsidR="00E15BBA" w:rsidRPr="00E15BBA" w:rsidRDefault="00E15BBA" w:rsidP="00E15BBA">
      <w:pPr>
        <w:pStyle w:val="FootnoteText"/>
        <w:rPr>
          <w:i/>
          <w:iCs/>
          <w:sz w:val="16"/>
          <w:szCs w:val="16"/>
          <w:lang w:val="fr-FR"/>
        </w:rPr>
      </w:pPr>
      <w:r w:rsidRPr="0050243E">
        <w:rPr>
          <w:rStyle w:val="FootnoteReference"/>
          <w:i/>
          <w:sz w:val="16"/>
          <w:lang w:val="da-DK" w:bidi="da-DK"/>
        </w:rPr>
        <w:footnoteRef/>
      </w:r>
      <w:proofErr w:type="spellStart"/>
      <w:r w:rsidRPr="0050243E">
        <w:rPr>
          <w:i/>
          <w:sz w:val="16"/>
          <w:lang w:val="da-DK" w:bidi="da-DK"/>
        </w:rPr>
        <w:t>Impact</w:t>
      </w:r>
      <w:proofErr w:type="spellEnd"/>
      <w:r w:rsidRPr="0050243E">
        <w:rPr>
          <w:i/>
          <w:sz w:val="16"/>
          <w:lang w:val="da-DK" w:bidi="da-DK"/>
        </w:rPr>
        <w:t xml:space="preserve"> Management Project; </w:t>
      </w:r>
      <w:hyperlink r:id="rId5" w:history="1">
        <w:r w:rsidRPr="0050243E">
          <w:rPr>
            <w:rStyle w:val="Hyperlink"/>
            <w:i/>
            <w:sz w:val="16"/>
            <w:lang w:val="da-DK" w:bidi="da-DK"/>
          </w:rPr>
          <w:t>www.impactmanagementproject.com</w:t>
        </w:r>
      </w:hyperlink>
      <w:r w:rsidRPr="0050243E">
        <w:rPr>
          <w:i/>
          <w:sz w:val="16"/>
          <w:lang w:val="da-DK" w:bidi="da-DK"/>
        </w:rPr>
        <w:t xml:space="preserve"> </w:t>
      </w:r>
    </w:p>
  </w:footnote>
  <w:footnote w:id="8">
    <w:p w14:paraId="0F6FC767" w14:textId="77777777" w:rsidR="00E15BBA" w:rsidRPr="00E15BBA" w:rsidRDefault="00E15BBA" w:rsidP="00E15BBA">
      <w:pPr>
        <w:pStyle w:val="FootnoteText"/>
        <w:rPr>
          <w:i/>
          <w:iCs/>
          <w:sz w:val="16"/>
          <w:szCs w:val="16"/>
          <w:lang w:val="fr-FR"/>
        </w:rPr>
      </w:pPr>
      <w:r w:rsidRPr="0050243E">
        <w:rPr>
          <w:rStyle w:val="FootnoteReference"/>
          <w:i/>
          <w:sz w:val="16"/>
          <w:lang w:val="fi-FI" w:bidi="fi-FI"/>
        </w:rPr>
        <w:footnoteRef/>
      </w:r>
      <w:proofErr w:type="spellStart"/>
      <w:r w:rsidRPr="0050243E">
        <w:rPr>
          <w:i/>
          <w:sz w:val="16"/>
          <w:lang w:val="fi-FI" w:bidi="fi-FI"/>
        </w:rPr>
        <w:t>Impact</w:t>
      </w:r>
      <w:proofErr w:type="spellEnd"/>
      <w:r w:rsidRPr="0050243E">
        <w:rPr>
          <w:i/>
          <w:sz w:val="16"/>
          <w:lang w:val="fi-FI" w:bidi="fi-FI"/>
        </w:rPr>
        <w:t xml:space="preserve"> Management Project; </w:t>
      </w:r>
      <w:hyperlink r:id="rId6" w:history="1">
        <w:r w:rsidRPr="0050243E">
          <w:rPr>
            <w:rStyle w:val="Hyperlink"/>
            <w:i/>
            <w:sz w:val="16"/>
            <w:lang w:val="fi-FI" w:bidi="fi-FI"/>
          </w:rPr>
          <w:t>www.impactmanagementproject.com</w:t>
        </w:r>
      </w:hyperlink>
      <w:r w:rsidRPr="0050243E">
        <w:rPr>
          <w:i/>
          <w:sz w:val="16"/>
          <w:lang w:val="fi-FI" w:bidi="fi-FI"/>
        </w:rPr>
        <w:t xml:space="preserve"> </w:t>
      </w:r>
    </w:p>
  </w:footnote>
  <w:footnote w:id="9">
    <w:p w14:paraId="4E417563" w14:textId="77777777" w:rsidR="00E15BBA" w:rsidRPr="00E15BBA" w:rsidRDefault="00E15BBA" w:rsidP="00E15BBA">
      <w:pPr>
        <w:pStyle w:val="FootnoteText"/>
        <w:rPr>
          <w:i/>
          <w:iCs/>
          <w:sz w:val="16"/>
          <w:szCs w:val="16"/>
          <w:lang w:val="fr-FR"/>
        </w:rPr>
      </w:pPr>
      <w:r w:rsidRPr="0050243E">
        <w:rPr>
          <w:rStyle w:val="FootnoteReference"/>
          <w:i/>
          <w:sz w:val="16"/>
          <w:lang w:val="it-IT" w:bidi="it-IT"/>
        </w:rPr>
        <w:footnoteRef/>
      </w:r>
      <w:proofErr w:type="spellStart"/>
      <w:r w:rsidRPr="00E15BBA">
        <w:rPr>
          <w:i/>
          <w:sz w:val="16"/>
          <w:lang w:val="fr-FR" w:bidi="it-IT"/>
        </w:rPr>
        <w:t>Progetto</w:t>
      </w:r>
      <w:proofErr w:type="spellEnd"/>
      <w:r w:rsidRPr="00E15BBA">
        <w:rPr>
          <w:i/>
          <w:sz w:val="16"/>
          <w:lang w:val="fr-FR" w:bidi="it-IT"/>
        </w:rPr>
        <w:t xml:space="preserve"> di </w:t>
      </w:r>
      <w:proofErr w:type="spellStart"/>
      <w:r w:rsidRPr="00E15BBA">
        <w:rPr>
          <w:i/>
          <w:sz w:val="16"/>
          <w:lang w:val="fr-FR" w:bidi="it-IT"/>
        </w:rPr>
        <w:t>gestione</w:t>
      </w:r>
      <w:proofErr w:type="spellEnd"/>
      <w:r w:rsidRPr="00E15BBA">
        <w:rPr>
          <w:i/>
          <w:sz w:val="16"/>
          <w:lang w:val="fr-FR" w:bidi="it-IT"/>
        </w:rPr>
        <w:t xml:space="preserve"> </w:t>
      </w:r>
      <w:proofErr w:type="spellStart"/>
      <w:proofErr w:type="gramStart"/>
      <w:r w:rsidRPr="00E15BBA">
        <w:rPr>
          <w:i/>
          <w:sz w:val="16"/>
          <w:lang w:val="fr-FR" w:bidi="it-IT"/>
        </w:rPr>
        <w:t>dell’impatto</w:t>
      </w:r>
      <w:proofErr w:type="spellEnd"/>
      <w:r w:rsidRPr="00E15BBA">
        <w:rPr>
          <w:i/>
          <w:sz w:val="16"/>
          <w:lang w:val="fr-FR" w:bidi="it-IT"/>
        </w:rPr>
        <w:t>;</w:t>
      </w:r>
      <w:proofErr w:type="gramEnd"/>
      <w:r w:rsidRPr="00E15BBA">
        <w:rPr>
          <w:i/>
          <w:sz w:val="16"/>
          <w:lang w:val="fr-FR" w:bidi="it-IT"/>
        </w:rPr>
        <w:t xml:space="preserve"> </w:t>
      </w:r>
      <w:hyperlink r:id="rId7" w:history="1">
        <w:r w:rsidRPr="00E15BBA">
          <w:rPr>
            <w:rStyle w:val="Hyperlink"/>
            <w:i/>
            <w:sz w:val="16"/>
            <w:lang w:val="fr-FR" w:bidi="it-IT"/>
          </w:rPr>
          <w:t>www.impactmanagementproject.com</w:t>
        </w:r>
      </w:hyperlink>
      <w:r w:rsidRPr="00E15BBA">
        <w:rPr>
          <w:i/>
          <w:sz w:val="16"/>
          <w:lang w:val="fr-FR" w:bidi="it-IT"/>
        </w:rPr>
        <w:t xml:space="preserve"> </w:t>
      </w:r>
    </w:p>
  </w:footnote>
  <w:footnote w:id="10">
    <w:p w14:paraId="40412EEE" w14:textId="77777777" w:rsidR="00E15BBA" w:rsidRPr="00E15BBA" w:rsidRDefault="00E15BBA" w:rsidP="00E15BBA">
      <w:pPr>
        <w:pStyle w:val="FootnoteText"/>
        <w:rPr>
          <w:i/>
          <w:iCs/>
          <w:sz w:val="16"/>
          <w:szCs w:val="16"/>
          <w:lang w:val="fr-FR"/>
        </w:rPr>
      </w:pPr>
      <w:r w:rsidRPr="0050243E">
        <w:rPr>
          <w:rStyle w:val="FootnoteReference"/>
          <w:i/>
          <w:sz w:val="16"/>
          <w:lang w:val="nl-NL" w:bidi="nl-NL"/>
        </w:rPr>
        <w:footnoteRef/>
      </w:r>
      <w:r w:rsidRPr="0050243E">
        <w:rPr>
          <w:i/>
          <w:sz w:val="16"/>
          <w:lang w:val="nl-NL" w:bidi="nl-NL"/>
        </w:rPr>
        <w:t xml:space="preserve">Impact Management Project; </w:t>
      </w:r>
      <w:hyperlink r:id="rId8" w:history="1">
        <w:r w:rsidRPr="0050243E">
          <w:rPr>
            <w:rStyle w:val="Hyperlink"/>
            <w:i/>
            <w:sz w:val="16"/>
            <w:lang w:val="nl-NL" w:bidi="nl-NL"/>
          </w:rPr>
          <w:t>www.impactmanagementproject.com</w:t>
        </w:r>
      </w:hyperlink>
      <w:r w:rsidRPr="0050243E">
        <w:rPr>
          <w:i/>
          <w:sz w:val="16"/>
          <w:lang w:val="nl-NL" w:bidi="nl-NL"/>
        </w:rPr>
        <w:t xml:space="preserve"> </w:t>
      </w:r>
    </w:p>
  </w:footnote>
  <w:footnote w:id="11">
    <w:p w14:paraId="1FB243BE" w14:textId="77777777" w:rsidR="00E15BBA" w:rsidRPr="0050243E" w:rsidRDefault="00E15BBA" w:rsidP="00E15BBA">
      <w:pPr>
        <w:pStyle w:val="FootnoteText"/>
        <w:rPr>
          <w:i/>
          <w:iCs/>
          <w:sz w:val="16"/>
          <w:szCs w:val="16"/>
          <w:lang w:val="en-GB"/>
        </w:rPr>
      </w:pPr>
      <w:r w:rsidRPr="0050243E">
        <w:rPr>
          <w:rStyle w:val="FootnoteReference"/>
          <w:i/>
          <w:sz w:val="16"/>
          <w:lang w:val="sv-SE" w:bidi="sv-SE"/>
        </w:rPr>
        <w:footnoteRef/>
      </w:r>
      <w:r w:rsidRPr="00FF5A71">
        <w:rPr>
          <w:i/>
          <w:sz w:val="16"/>
          <w:lang w:bidi="sv-SE"/>
        </w:rPr>
        <w:t xml:space="preserve">Impact Management Project; </w:t>
      </w:r>
      <w:hyperlink r:id="rId9" w:history="1">
        <w:r w:rsidRPr="00FF5A71">
          <w:rPr>
            <w:rStyle w:val="Hyperlink"/>
            <w:i/>
            <w:sz w:val="16"/>
            <w:lang w:bidi="sv-SE"/>
          </w:rPr>
          <w:t>www.impactmanagementproject.com</w:t>
        </w:r>
      </w:hyperlink>
      <w:r w:rsidRPr="00FF5A71">
        <w:rPr>
          <w:i/>
          <w:sz w:val="16"/>
          <w:lang w:bidi="sv-S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C8C0BAC"/>
    <w:lvl w:ilvl="0">
      <w:start w:val="1"/>
      <w:numFmt w:val="decimal"/>
      <w:pStyle w:val="ListNumber"/>
      <w:lvlText w:val="%1."/>
      <w:lvlJc w:val="left"/>
      <w:pPr>
        <w:tabs>
          <w:tab w:val="num" w:pos="710"/>
        </w:tabs>
        <w:ind w:left="710" w:hanging="360"/>
      </w:pPr>
    </w:lvl>
  </w:abstractNum>
  <w:abstractNum w:abstractNumId="1" w15:restartNumberingAfterBreak="0">
    <w:nsid w:val="FFFFFF89"/>
    <w:multiLevelType w:val="singleLevel"/>
    <w:tmpl w:val="4228786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125BBB"/>
    <w:multiLevelType w:val="multilevel"/>
    <w:tmpl w:val="FC200182"/>
    <w:styleLink w:val="BULLETS"/>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tabs>
          <w:tab w:val="num" w:pos="714"/>
        </w:tabs>
        <w:ind w:left="714" w:hanging="357"/>
      </w:pPr>
      <w:rPr>
        <w:rFonts w:ascii="Symbol" w:hAnsi="Symbol" w:hint="default"/>
      </w:rPr>
    </w:lvl>
    <w:lvl w:ilvl="2">
      <w:start w:val="1"/>
      <w:numFmt w:val="bullet"/>
      <w:lvlText w:val=""/>
      <w:lvlJc w:val="left"/>
      <w:pPr>
        <w:tabs>
          <w:tab w:val="num" w:pos="1071"/>
        </w:tabs>
        <w:ind w:left="1071" w:hanging="357"/>
      </w:pPr>
      <w:rPr>
        <w:rFonts w:ascii="Symbol" w:hAnsi="Symbol" w:hint="default"/>
      </w:rPr>
    </w:lvl>
    <w:lvl w:ilvl="3">
      <w:start w:val="1"/>
      <w:numFmt w:val="bullet"/>
      <w:lvlText w:val=""/>
      <w:lvlJc w:val="left"/>
      <w:pPr>
        <w:tabs>
          <w:tab w:val="num" w:pos="1428"/>
        </w:tabs>
        <w:ind w:left="1428" w:hanging="357"/>
      </w:pPr>
      <w:rPr>
        <w:rFonts w:ascii="Symbol" w:hAnsi="Symbol" w:hint="default"/>
      </w:rPr>
    </w:lvl>
    <w:lvl w:ilvl="4">
      <w:start w:val="1"/>
      <w:numFmt w:val="bullet"/>
      <w:lvlText w:val=""/>
      <w:lvlJc w:val="left"/>
      <w:pPr>
        <w:tabs>
          <w:tab w:val="num" w:pos="1785"/>
        </w:tabs>
        <w:ind w:left="1785" w:hanging="357"/>
      </w:pPr>
      <w:rPr>
        <w:rFonts w:ascii="Symbol" w:hAnsi="Symbol" w:hint="default"/>
      </w:rPr>
    </w:lvl>
    <w:lvl w:ilvl="5">
      <w:start w:val="1"/>
      <w:numFmt w:val="bullet"/>
      <w:lvlText w:val=""/>
      <w:lvlJc w:val="left"/>
      <w:pPr>
        <w:tabs>
          <w:tab w:val="num" w:pos="2142"/>
        </w:tabs>
        <w:ind w:left="2142" w:hanging="357"/>
      </w:pPr>
      <w:rPr>
        <w:rFonts w:ascii="Symbol" w:hAnsi="Symbol" w:hint="default"/>
      </w:rPr>
    </w:lvl>
    <w:lvl w:ilvl="6">
      <w:start w:val="1"/>
      <w:numFmt w:val="bullet"/>
      <w:lvlText w:val=""/>
      <w:lvlJc w:val="left"/>
      <w:pPr>
        <w:tabs>
          <w:tab w:val="num" w:pos="2499"/>
        </w:tabs>
        <w:ind w:left="2499" w:hanging="357"/>
      </w:pPr>
      <w:rPr>
        <w:rFonts w:ascii="Symbol" w:hAnsi="Symbol" w:hint="default"/>
      </w:rPr>
    </w:lvl>
    <w:lvl w:ilvl="7">
      <w:start w:val="1"/>
      <w:numFmt w:val="bullet"/>
      <w:lvlText w:val=""/>
      <w:lvlJc w:val="left"/>
      <w:pPr>
        <w:tabs>
          <w:tab w:val="num" w:pos="2856"/>
        </w:tabs>
        <w:ind w:left="2856" w:hanging="357"/>
      </w:pPr>
      <w:rPr>
        <w:rFonts w:ascii="Symbol" w:hAnsi="Symbol" w:hint="default"/>
      </w:rPr>
    </w:lvl>
    <w:lvl w:ilvl="8">
      <w:start w:val="1"/>
      <w:numFmt w:val="bullet"/>
      <w:lvlText w:val=""/>
      <w:lvlJc w:val="left"/>
      <w:pPr>
        <w:tabs>
          <w:tab w:val="num" w:pos="3213"/>
        </w:tabs>
        <w:ind w:left="3213" w:hanging="357"/>
      </w:pPr>
      <w:rPr>
        <w:rFonts w:ascii="Symbol" w:hAnsi="Symbol" w:hint="default"/>
      </w:rPr>
    </w:lvl>
  </w:abstractNum>
  <w:abstractNum w:abstractNumId="3" w15:restartNumberingAfterBreak="0">
    <w:nsid w:val="07E03F21"/>
    <w:multiLevelType w:val="hybridMultilevel"/>
    <w:tmpl w:val="15F8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0479D"/>
    <w:multiLevelType w:val="hybridMultilevel"/>
    <w:tmpl w:val="2E50F780"/>
    <w:lvl w:ilvl="0" w:tplc="93BAD6D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7B6F79"/>
    <w:multiLevelType w:val="hybridMultilevel"/>
    <w:tmpl w:val="E122737E"/>
    <w:lvl w:ilvl="0" w:tplc="2A86C2F8">
      <w:start w:val="1"/>
      <w:numFmt w:val="decimal"/>
      <w:lvlText w:val="%1."/>
      <w:lvlJc w:val="left"/>
      <w:pPr>
        <w:ind w:left="2771" w:hanging="360"/>
      </w:pPr>
      <w:rPr>
        <w:rFonts w:ascii="Lato Light" w:hAnsi="Lato Light" w:hint="default"/>
        <w:sz w:val="22"/>
        <w:szCs w:val="22"/>
      </w:rPr>
    </w:lvl>
    <w:lvl w:ilvl="1" w:tplc="08090003" w:tentative="1">
      <w:start w:val="1"/>
      <w:numFmt w:val="bullet"/>
      <w:lvlText w:val="o"/>
      <w:lvlJc w:val="left"/>
      <w:pPr>
        <w:ind w:left="3491" w:hanging="360"/>
      </w:pPr>
      <w:rPr>
        <w:rFonts w:ascii="Courier New" w:hAnsi="Courier New" w:cs="Courier New" w:hint="default"/>
      </w:rPr>
    </w:lvl>
    <w:lvl w:ilvl="2" w:tplc="08090005" w:tentative="1">
      <w:start w:val="1"/>
      <w:numFmt w:val="bullet"/>
      <w:lvlText w:val=""/>
      <w:lvlJc w:val="left"/>
      <w:pPr>
        <w:ind w:left="4211" w:hanging="360"/>
      </w:pPr>
      <w:rPr>
        <w:rFonts w:ascii="Wingdings" w:hAnsi="Wingdings" w:hint="default"/>
      </w:rPr>
    </w:lvl>
    <w:lvl w:ilvl="3" w:tplc="08090001" w:tentative="1">
      <w:start w:val="1"/>
      <w:numFmt w:val="bullet"/>
      <w:lvlText w:val=""/>
      <w:lvlJc w:val="left"/>
      <w:pPr>
        <w:ind w:left="4931" w:hanging="360"/>
      </w:pPr>
      <w:rPr>
        <w:rFonts w:ascii="Symbol" w:hAnsi="Symbol" w:hint="default"/>
      </w:rPr>
    </w:lvl>
    <w:lvl w:ilvl="4" w:tplc="08090003" w:tentative="1">
      <w:start w:val="1"/>
      <w:numFmt w:val="bullet"/>
      <w:lvlText w:val="o"/>
      <w:lvlJc w:val="left"/>
      <w:pPr>
        <w:ind w:left="5651" w:hanging="360"/>
      </w:pPr>
      <w:rPr>
        <w:rFonts w:ascii="Courier New" w:hAnsi="Courier New" w:cs="Courier New" w:hint="default"/>
      </w:rPr>
    </w:lvl>
    <w:lvl w:ilvl="5" w:tplc="08090005" w:tentative="1">
      <w:start w:val="1"/>
      <w:numFmt w:val="bullet"/>
      <w:lvlText w:val=""/>
      <w:lvlJc w:val="left"/>
      <w:pPr>
        <w:ind w:left="6371" w:hanging="360"/>
      </w:pPr>
      <w:rPr>
        <w:rFonts w:ascii="Wingdings" w:hAnsi="Wingdings" w:hint="default"/>
      </w:rPr>
    </w:lvl>
    <w:lvl w:ilvl="6" w:tplc="08090001" w:tentative="1">
      <w:start w:val="1"/>
      <w:numFmt w:val="bullet"/>
      <w:lvlText w:val=""/>
      <w:lvlJc w:val="left"/>
      <w:pPr>
        <w:ind w:left="7091" w:hanging="360"/>
      </w:pPr>
      <w:rPr>
        <w:rFonts w:ascii="Symbol" w:hAnsi="Symbol" w:hint="default"/>
      </w:rPr>
    </w:lvl>
    <w:lvl w:ilvl="7" w:tplc="08090003" w:tentative="1">
      <w:start w:val="1"/>
      <w:numFmt w:val="bullet"/>
      <w:lvlText w:val="o"/>
      <w:lvlJc w:val="left"/>
      <w:pPr>
        <w:ind w:left="7811" w:hanging="360"/>
      </w:pPr>
      <w:rPr>
        <w:rFonts w:ascii="Courier New" w:hAnsi="Courier New" w:cs="Courier New" w:hint="default"/>
      </w:rPr>
    </w:lvl>
    <w:lvl w:ilvl="8" w:tplc="08090005" w:tentative="1">
      <w:start w:val="1"/>
      <w:numFmt w:val="bullet"/>
      <w:lvlText w:val=""/>
      <w:lvlJc w:val="left"/>
      <w:pPr>
        <w:ind w:left="8531" w:hanging="360"/>
      </w:pPr>
      <w:rPr>
        <w:rFonts w:ascii="Wingdings" w:hAnsi="Wingdings" w:hint="default"/>
      </w:rPr>
    </w:lvl>
  </w:abstractNum>
  <w:abstractNum w:abstractNumId="6" w15:restartNumberingAfterBreak="0">
    <w:nsid w:val="10F008BF"/>
    <w:multiLevelType w:val="hybridMultilevel"/>
    <w:tmpl w:val="39283B4E"/>
    <w:lvl w:ilvl="0" w:tplc="21AAE538">
      <w:start w:val="9"/>
      <w:numFmt w:val="lowerLetter"/>
      <w:lvlText w:val="%1."/>
      <w:lvlJc w:val="left"/>
      <w:pPr>
        <w:ind w:left="2166" w:hanging="465"/>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7" w15:restartNumberingAfterBreak="0">
    <w:nsid w:val="14012FDB"/>
    <w:multiLevelType w:val="hybridMultilevel"/>
    <w:tmpl w:val="D678396A"/>
    <w:lvl w:ilvl="0" w:tplc="71E623E8">
      <w:start w:val="1"/>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8" w15:restartNumberingAfterBreak="0">
    <w:nsid w:val="165B4B5B"/>
    <w:multiLevelType w:val="hybridMultilevel"/>
    <w:tmpl w:val="77E29A20"/>
    <w:lvl w:ilvl="0" w:tplc="71E623E8">
      <w:start w:val="1"/>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9" w15:restartNumberingAfterBreak="0">
    <w:nsid w:val="16A3135A"/>
    <w:multiLevelType w:val="hybridMultilevel"/>
    <w:tmpl w:val="2C9CE6AA"/>
    <w:lvl w:ilvl="0" w:tplc="04628184">
      <w:start w:val="14"/>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1D033818"/>
    <w:multiLevelType w:val="multilevel"/>
    <w:tmpl w:val="EED62DBA"/>
    <w:styleLink w:val="ListNumbers"/>
    <w:lvl w:ilvl="0">
      <w:start w:val="1"/>
      <w:numFmt w:val="decimal"/>
      <w:lvlText w:val="%1."/>
      <w:lvlJc w:val="left"/>
      <w:pPr>
        <w:tabs>
          <w:tab w:val="num" w:pos="284"/>
        </w:tabs>
        <w:ind w:left="284" w:hanging="284"/>
      </w:pPr>
      <w:rPr>
        <w:rFonts w:hint="default"/>
        <w:b w:val="0"/>
        <w:i w:val="0"/>
      </w:rPr>
    </w:lvl>
    <w:lvl w:ilvl="1">
      <w:start w:val="1"/>
      <w:numFmt w:val="lowerLetter"/>
      <w:lvlText w:val="(%2)"/>
      <w:lvlJc w:val="left"/>
      <w:pPr>
        <w:tabs>
          <w:tab w:val="num" w:pos="567"/>
        </w:tabs>
        <w:ind w:left="568" w:hanging="284"/>
      </w:pPr>
      <w:rPr>
        <w:rFonts w:hint="default"/>
        <w:b w:val="0"/>
        <w:i w:val="0"/>
      </w:rPr>
    </w:lvl>
    <w:lvl w:ilvl="2">
      <w:start w:val="1"/>
      <w:numFmt w:val="lowerRoman"/>
      <w:lvlText w:val="(%3)"/>
      <w:lvlJc w:val="left"/>
      <w:pPr>
        <w:tabs>
          <w:tab w:val="num" w:pos="851"/>
        </w:tabs>
        <w:ind w:left="852" w:hanging="284"/>
      </w:pPr>
      <w:rPr>
        <w:rFonts w:hint="default"/>
        <w:b w:val="0"/>
        <w:i w:val="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04E769A"/>
    <w:multiLevelType w:val="hybridMultilevel"/>
    <w:tmpl w:val="A9B627F8"/>
    <w:lvl w:ilvl="0" w:tplc="1CE60BE2">
      <w:start w:val="1"/>
      <w:numFmt w:val="lowerRoman"/>
      <w:lvlText w:val="(%1)"/>
      <w:lvlJc w:val="left"/>
      <w:pPr>
        <w:ind w:left="360" w:hanging="360"/>
      </w:pPr>
      <w:rPr>
        <w:rFonts w:cs="Times New Roman"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0690CD4"/>
    <w:multiLevelType w:val="multilevel"/>
    <w:tmpl w:val="DD54A106"/>
    <w:styleLink w:val="Bullets0"/>
    <w:lvl w:ilvl="0">
      <w:start w:val="1"/>
      <w:numFmt w:val="bullet"/>
      <w:lvlText w:val=""/>
      <w:lvlJc w:val="left"/>
      <w:pPr>
        <w:ind w:left="227" w:hanging="227"/>
      </w:pPr>
      <w:rPr>
        <w:rFonts w:ascii="Symbol" w:hAnsi="Symbol" w:hint="default"/>
        <w:color w:val="000000" w:themeColor="text2"/>
        <w:sz w:val="20"/>
      </w:rPr>
    </w:lvl>
    <w:lvl w:ilvl="1">
      <w:start w:val="1"/>
      <w:numFmt w:val="bullet"/>
      <w:lvlText w:val=""/>
      <w:lvlJc w:val="left"/>
      <w:pPr>
        <w:ind w:left="454" w:hanging="227"/>
      </w:pPr>
      <w:rPr>
        <w:rFonts w:ascii="Symbol" w:hAnsi="Symbol" w:hint="default"/>
        <w:color w:val="000000" w:themeColor="text2"/>
      </w:rPr>
    </w:lvl>
    <w:lvl w:ilvl="2">
      <w:start w:val="1"/>
      <w:numFmt w:val="bullet"/>
      <w:lvlText w:val=""/>
      <w:lvlJc w:val="left"/>
      <w:pPr>
        <w:ind w:left="680" w:hanging="226"/>
      </w:pPr>
      <w:rPr>
        <w:rFonts w:ascii="Symbol" w:hAnsi="Symbol" w:hint="default"/>
        <w:color w:val="000000" w:themeColor="text2"/>
      </w:rPr>
    </w:lvl>
    <w:lvl w:ilvl="3">
      <w:start w:val="1"/>
      <w:numFmt w:val="bullet"/>
      <w:lvlText w:val=""/>
      <w:lvlJc w:val="left"/>
      <w:pPr>
        <w:tabs>
          <w:tab w:val="num" w:pos="1134"/>
        </w:tabs>
        <w:ind w:left="907" w:hanging="227"/>
      </w:pPr>
      <w:rPr>
        <w:rFonts w:ascii="Symbol" w:hAnsi="Symbol" w:hint="default"/>
        <w:color w:val="000000" w:themeColor="text2"/>
      </w:rPr>
    </w:lvl>
    <w:lvl w:ilvl="4">
      <w:start w:val="1"/>
      <w:numFmt w:val="none"/>
      <w:lvlText w:val=""/>
      <w:lvlJc w:val="left"/>
      <w:pPr>
        <w:tabs>
          <w:tab w:val="num" w:pos="1418"/>
        </w:tabs>
        <w:ind w:left="1420" w:hanging="284"/>
      </w:pPr>
      <w:rPr>
        <w:rFonts w:hint="default"/>
        <w:color w:val="000000" w:themeColor="text2"/>
      </w:rPr>
    </w:lvl>
    <w:lvl w:ilvl="5">
      <w:start w:val="1"/>
      <w:numFmt w:val="none"/>
      <w:lvlText w:val=""/>
      <w:lvlJc w:val="left"/>
      <w:pPr>
        <w:tabs>
          <w:tab w:val="num" w:pos="1707"/>
        </w:tabs>
        <w:ind w:left="1704" w:hanging="284"/>
      </w:pPr>
      <w:rPr>
        <w:rFonts w:hint="default"/>
        <w:color w:val="000000" w:themeColor="text2"/>
      </w:rPr>
    </w:lvl>
    <w:lvl w:ilvl="6">
      <w:start w:val="1"/>
      <w:numFmt w:val="none"/>
      <w:lvlText w:val=""/>
      <w:lvlJc w:val="left"/>
      <w:pPr>
        <w:tabs>
          <w:tab w:val="num" w:pos="1990"/>
        </w:tabs>
        <w:ind w:left="1988" w:hanging="284"/>
      </w:pPr>
      <w:rPr>
        <w:rFonts w:hint="default"/>
        <w:color w:val="000000" w:themeColor="text2"/>
      </w:rPr>
    </w:lvl>
    <w:lvl w:ilvl="7">
      <w:start w:val="1"/>
      <w:numFmt w:val="none"/>
      <w:lvlText w:val=""/>
      <w:lvlJc w:val="left"/>
      <w:pPr>
        <w:tabs>
          <w:tab w:val="num" w:pos="2274"/>
        </w:tabs>
        <w:ind w:left="2272" w:hanging="284"/>
      </w:pPr>
      <w:rPr>
        <w:rFonts w:hint="default"/>
        <w:color w:val="000000" w:themeColor="text2"/>
      </w:rPr>
    </w:lvl>
    <w:lvl w:ilvl="8">
      <w:start w:val="1"/>
      <w:numFmt w:val="none"/>
      <w:lvlText w:val=""/>
      <w:lvlJc w:val="left"/>
      <w:pPr>
        <w:tabs>
          <w:tab w:val="num" w:pos="2557"/>
        </w:tabs>
        <w:ind w:left="2556" w:hanging="284"/>
      </w:pPr>
      <w:rPr>
        <w:rFonts w:hint="default"/>
        <w:color w:val="000000" w:themeColor="text2"/>
      </w:rPr>
    </w:lvl>
  </w:abstractNum>
  <w:abstractNum w:abstractNumId="13" w15:restartNumberingAfterBreak="0">
    <w:nsid w:val="21F86640"/>
    <w:multiLevelType w:val="multilevel"/>
    <w:tmpl w:val="09AC8576"/>
    <w:lvl w:ilvl="0">
      <w:start w:val="1"/>
      <w:numFmt w:val="decimal"/>
      <w:lvlText w:val="%1."/>
      <w:lvlJc w:val="left"/>
      <w:pPr>
        <w:ind w:left="360" w:hanging="360"/>
      </w:pPr>
      <w:rPr>
        <w:b/>
      </w:rPr>
    </w:lvl>
    <w:lvl w:ilvl="1">
      <w:start w:val="1"/>
      <w:numFmt w:val="decimal"/>
      <w:lvlText w:val="%1.%2."/>
      <w:lvlJc w:val="left"/>
      <w:pPr>
        <w:ind w:left="432" w:hanging="432"/>
      </w:pPr>
      <w:rPr>
        <w:b/>
        <w:sz w:val="20"/>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9C3480"/>
    <w:multiLevelType w:val="hybridMultilevel"/>
    <w:tmpl w:val="99C21616"/>
    <w:lvl w:ilvl="0" w:tplc="10BC6C8E">
      <w:start w:val="1"/>
      <w:numFmt w:val="upperRoman"/>
      <w:lvlText w:val="%1."/>
      <w:lvlJc w:val="left"/>
      <w:pPr>
        <w:ind w:left="1080" w:hanging="72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15:restartNumberingAfterBreak="0">
    <w:nsid w:val="2D2E7191"/>
    <w:multiLevelType w:val="hybridMultilevel"/>
    <w:tmpl w:val="46127EDC"/>
    <w:lvl w:ilvl="0" w:tplc="F04A0C6E">
      <w:start w:val="14"/>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DB369B7"/>
    <w:multiLevelType w:val="hybridMultilevel"/>
    <w:tmpl w:val="BFFA8AEA"/>
    <w:lvl w:ilvl="0" w:tplc="0809000F">
      <w:start w:val="1"/>
      <w:numFmt w:val="decimal"/>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7" w15:restartNumberingAfterBreak="0">
    <w:nsid w:val="31457076"/>
    <w:multiLevelType w:val="hybridMultilevel"/>
    <w:tmpl w:val="30D02114"/>
    <w:lvl w:ilvl="0" w:tplc="894CCD78">
      <w:start w:val="1"/>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18" w15:restartNumberingAfterBreak="0">
    <w:nsid w:val="3161124C"/>
    <w:multiLevelType w:val="hybridMultilevel"/>
    <w:tmpl w:val="37BC80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A21B81"/>
    <w:multiLevelType w:val="hybridMultilevel"/>
    <w:tmpl w:val="9C34EAA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33BC7AAC"/>
    <w:multiLevelType w:val="multilevel"/>
    <w:tmpl w:val="F808E6B8"/>
    <w:styleLink w:val="NumberedHeadings"/>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b/>
        <w:i w:val="0"/>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737"/>
        </w:tabs>
        <w:ind w:left="737" w:hanging="737"/>
      </w:pPr>
      <w:rPr>
        <w:rFonts w:hint="default"/>
      </w:rPr>
    </w:lvl>
    <w:lvl w:ilvl="4">
      <w:start w:val="1"/>
      <w:numFmt w:val="none"/>
      <w:lvlText w:val=""/>
      <w:lvlJc w:val="left"/>
      <w:pPr>
        <w:tabs>
          <w:tab w:val="num" w:pos="567"/>
        </w:tabs>
        <w:ind w:left="737" w:hanging="737"/>
      </w:pPr>
      <w:rPr>
        <w:rFonts w:hint="default"/>
      </w:rPr>
    </w:lvl>
    <w:lvl w:ilvl="5">
      <w:start w:val="1"/>
      <w:numFmt w:val="none"/>
      <w:lvlText w:val=""/>
      <w:lvlJc w:val="left"/>
      <w:pPr>
        <w:tabs>
          <w:tab w:val="num" w:pos="567"/>
        </w:tabs>
        <w:ind w:left="737" w:hanging="737"/>
      </w:pPr>
      <w:rPr>
        <w:rFonts w:hint="default"/>
      </w:rPr>
    </w:lvl>
    <w:lvl w:ilvl="6">
      <w:start w:val="1"/>
      <w:numFmt w:val="none"/>
      <w:lvlText w:val=""/>
      <w:lvlJc w:val="left"/>
      <w:pPr>
        <w:tabs>
          <w:tab w:val="num" w:pos="567"/>
        </w:tabs>
        <w:ind w:left="737" w:hanging="737"/>
      </w:pPr>
      <w:rPr>
        <w:rFonts w:hint="default"/>
      </w:rPr>
    </w:lvl>
    <w:lvl w:ilvl="7">
      <w:start w:val="1"/>
      <w:numFmt w:val="none"/>
      <w:lvlText w:val=""/>
      <w:lvlJc w:val="left"/>
      <w:pPr>
        <w:tabs>
          <w:tab w:val="num" w:pos="567"/>
        </w:tabs>
        <w:ind w:left="737" w:hanging="737"/>
      </w:pPr>
      <w:rPr>
        <w:rFonts w:hint="default"/>
      </w:rPr>
    </w:lvl>
    <w:lvl w:ilvl="8">
      <w:start w:val="1"/>
      <w:numFmt w:val="none"/>
      <w:lvlText w:val=""/>
      <w:lvlJc w:val="left"/>
      <w:pPr>
        <w:tabs>
          <w:tab w:val="num" w:pos="567"/>
        </w:tabs>
        <w:ind w:left="737" w:hanging="737"/>
      </w:pPr>
      <w:rPr>
        <w:rFonts w:hint="default"/>
      </w:rPr>
    </w:lvl>
  </w:abstractNum>
  <w:abstractNum w:abstractNumId="21" w15:restartNumberingAfterBreak="0">
    <w:nsid w:val="366B6A75"/>
    <w:multiLevelType w:val="hybridMultilevel"/>
    <w:tmpl w:val="B3F2F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CA4375"/>
    <w:multiLevelType w:val="hybridMultilevel"/>
    <w:tmpl w:val="39ACF622"/>
    <w:lvl w:ilvl="0" w:tplc="C8808694">
      <w:start w:val="14"/>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3A6D1E0E"/>
    <w:multiLevelType w:val="hybridMultilevel"/>
    <w:tmpl w:val="5608FEDC"/>
    <w:lvl w:ilvl="0" w:tplc="214238B8">
      <w:start w:val="14"/>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3B266BD5"/>
    <w:multiLevelType w:val="hybridMultilevel"/>
    <w:tmpl w:val="49FCD164"/>
    <w:lvl w:ilvl="0" w:tplc="93BAD6D4">
      <w:start w:val="1"/>
      <w:numFmt w:val="lowerRoman"/>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330896"/>
    <w:multiLevelType w:val="hybridMultilevel"/>
    <w:tmpl w:val="39283B4E"/>
    <w:lvl w:ilvl="0" w:tplc="21AAE538">
      <w:start w:val="9"/>
      <w:numFmt w:val="lowerLetter"/>
      <w:lvlText w:val="%1."/>
      <w:lvlJc w:val="left"/>
      <w:pPr>
        <w:ind w:left="2166" w:hanging="465"/>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26" w15:restartNumberingAfterBreak="0">
    <w:nsid w:val="455063F8"/>
    <w:multiLevelType w:val="hybridMultilevel"/>
    <w:tmpl w:val="D6003B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6BC5387"/>
    <w:multiLevelType w:val="hybridMultilevel"/>
    <w:tmpl w:val="527255C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15:restartNumberingAfterBreak="0">
    <w:nsid w:val="4DEA549C"/>
    <w:multiLevelType w:val="hybridMultilevel"/>
    <w:tmpl w:val="7264C1B8"/>
    <w:lvl w:ilvl="0" w:tplc="88A214A4">
      <w:start w:val="19"/>
      <w:numFmt w:val="bullet"/>
      <w:lvlText w:val="-"/>
      <w:lvlJc w:val="left"/>
      <w:pPr>
        <w:ind w:left="1080" w:hanging="360"/>
      </w:pPr>
      <w:rPr>
        <w:rFonts w:ascii="Lato" w:eastAsia="MS PGothic" w:hAnsi="Lato"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370247E"/>
    <w:multiLevelType w:val="hybridMultilevel"/>
    <w:tmpl w:val="CA9C5D60"/>
    <w:lvl w:ilvl="0" w:tplc="71E623E8">
      <w:start w:val="1"/>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30" w15:restartNumberingAfterBreak="0">
    <w:nsid w:val="54521129"/>
    <w:multiLevelType w:val="hybridMultilevel"/>
    <w:tmpl w:val="FE9E8E38"/>
    <w:lvl w:ilvl="0" w:tplc="3612DC8C">
      <w:start w:val="14"/>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5772767F"/>
    <w:multiLevelType w:val="hybridMultilevel"/>
    <w:tmpl w:val="4C0852FC"/>
    <w:lvl w:ilvl="0" w:tplc="7FEE4CAA">
      <w:start w:val="14"/>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5DE43A9F"/>
    <w:multiLevelType w:val="hybridMultilevel"/>
    <w:tmpl w:val="312482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400F1D"/>
    <w:multiLevelType w:val="hybridMultilevel"/>
    <w:tmpl w:val="00AC42A0"/>
    <w:lvl w:ilvl="0" w:tplc="495CAADE">
      <w:start w:val="14"/>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608F2608"/>
    <w:multiLevelType w:val="hybridMultilevel"/>
    <w:tmpl w:val="1DAEF638"/>
    <w:lvl w:ilvl="0" w:tplc="1A7EC0E8">
      <w:start w:val="1"/>
      <w:numFmt w:val="decimal"/>
      <w:lvlText w:val="%1."/>
      <w:lvlJc w:val="left"/>
      <w:pPr>
        <w:ind w:left="2781" w:hanging="360"/>
      </w:pPr>
      <w:rPr>
        <w:rFonts w:ascii="Lato Light" w:hAnsi="Lato Light" w:hint="default"/>
        <w:sz w:val="22"/>
      </w:rPr>
    </w:lvl>
    <w:lvl w:ilvl="1" w:tplc="046E0019" w:tentative="1">
      <w:start w:val="1"/>
      <w:numFmt w:val="lowerLetter"/>
      <w:lvlText w:val="%2."/>
      <w:lvlJc w:val="left"/>
      <w:pPr>
        <w:ind w:left="3501" w:hanging="360"/>
      </w:pPr>
    </w:lvl>
    <w:lvl w:ilvl="2" w:tplc="046E001B" w:tentative="1">
      <w:start w:val="1"/>
      <w:numFmt w:val="lowerRoman"/>
      <w:lvlText w:val="%3."/>
      <w:lvlJc w:val="right"/>
      <w:pPr>
        <w:ind w:left="4221" w:hanging="180"/>
      </w:pPr>
    </w:lvl>
    <w:lvl w:ilvl="3" w:tplc="046E000F" w:tentative="1">
      <w:start w:val="1"/>
      <w:numFmt w:val="decimal"/>
      <w:lvlText w:val="%4."/>
      <w:lvlJc w:val="left"/>
      <w:pPr>
        <w:ind w:left="4941" w:hanging="360"/>
      </w:pPr>
    </w:lvl>
    <w:lvl w:ilvl="4" w:tplc="046E0019" w:tentative="1">
      <w:start w:val="1"/>
      <w:numFmt w:val="lowerLetter"/>
      <w:lvlText w:val="%5."/>
      <w:lvlJc w:val="left"/>
      <w:pPr>
        <w:ind w:left="5661" w:hanging="360"/>
      </w:pPr>
    </w:lvl>
    <w:lvl w:ilvl="5" w:tplc="046E001B" w:tentative="1">
      <w:start w:val="1"/>
      <w:numFmt w:val="lowerRoman"/>
      <w:lvlText w:val="%6."/>
      <w:lvlJc w:val="right"/>
      <w:pPr>
        <w:ind w:left="6381" w:hanging="180"/>
      </w:pPr>
    </w:lvl>
    <w:lvl w:ilvl="6" w:tplc="046E000F" w:tentative="1">
      <w:start w:val="1"/>
      <w:numFmt w:val="decimal"/>
      <w:lvlText w:val="%7."/>
      <w:lvlJc w:val="left"/>
      <w:pPr>
        <w:ind w:left="7101" w:hanging="360"/>
      </w:pPr>
    </w:lvl>
    <w:lvl w:ilvl="7" w:tplc="046E0019" w:tentative="1">
      <w:start w:val="1"/>
      <w:numFmt w:val="lowerLetter"/>
      <w:lvlText w:val="%8."/>
      <w:lvlJc w:val="left"/>
      <w:pPr>
        <w:ind w:left="7821" w:hanging="360"/>
      </w:pPr>
    </w:lvl>
    <w:lvl w:ilvl="8" w:tplc="046E001B" w:tentative="1">
      <w:start w:val="1"/>
      <w:numFmt w:val="lowerRoman"/>
      <w:lvlText w:val="%9."/>
      <w:lvlJc w:val="right"/>
      <w:pPr>
        <w:ind w:left="8541" w:hanging="180"/>
      </w:pPr>
    </w:lvl>
  </w:abstractNum>
  <w:abstractNum w:abstractNumId="35" w15:restartNumberingAfterBreak="0">
    <w:nsid w:val="64D46D38"/>
    <w:multiLevelType w:val="hybridMultilevel"/>
    <w:tmpl w:val="914C7C80"/>
    <w:lvl w:ilvl="0" w:tplc="8A76719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69E4226A"/>
    <w:multiLevelType w:val="multilevel"/>
    <w:tmpl w:val="761A617E"/>
    <w:lvl w:ilvl="0">
      <w:start w:val="1"/>
      <w:numFmt w:val="decimal"/>
      <w:lvlText w:val="%1."/>
      <w:lvlJc w:val="left"/>
      <w:pPr>
        <w:tabs>
          <w:tab w:val="num" w:pos="357"/>
        </w:tabs>
        <w:ind w:left="357" w:hanging="357"/>
      </w:pPr>
      <w:rPr>
        <w:rFonts w:hint="default"/>
      </w:rPr>
    </w:lvl>
    <w:lvl w:ilvl="1">
      <w:start w:val="1"/>
      <w:numFmt w:val="decimal"/>
      <w:lvlRestart w:val="0"/>
      <w:lvlText w:val="%2."/>
      <w:lvlJc w:val="left"/>
      <w:pPr>
        <w:tabs>
          <w:tab w:val="num" w:pos="714"/>
        </w:tabs>
        <w:ind w:left="714" w:hanging="357"/>
      </w:pPr>
      <w:rPr>
        <w:rFonts w:hint="default"/>
      </w:rPr>
    </w:lvl>
    <w:lvl w:ilvl="2">
      <w:start w:val="1"/>
      <w:numFmt w:val="decimal"/>
      <w:lvlRestart w:val="0"/>
      <w:lvlText w:val="%3."/>
      <w:lvlJc w:val="left"/>
      <w:pPr>
        <w:tabs>
          <w:tab w:val="num" w:pos="1071"/>
        </w:tabs>
        <w:ind w:left="1071" w:hanging="357"/>
      </w:pPr>
      <w:rPr>
        <w:rFonts w:hint="default"/>
      </w:rPr>
    </w:lvl>
    <w:lvl w:ilvl="3">
      <w:start w:val="1"/>
      <w:numFmt w:val="decimal"/>
      <w:lvlRestart w:val="0"/>
      <w:pStyle w:val="ListNumber4"/>
      <w:lvlText w:val="%4."/>
      <w:lvlJc w:val="left"/>
      <w:pPr>
        <w:tabs>
          <w:tab w:val="num" w:pos="1428"/>
        </w:tabs>
        <w:ind w:left="1428" w:hanging="357"/>
      </w:pPr>
      <w:rPr>
        <w:rFonts w:hint="default"/>
      </w:rPr>
    </w:lvl>
    <w:lvl w:ilvl="4">
      <w:start w:val="1"/>
      <w:numFmt w:val="decimal"/>
      <w:lvlRestart w:val="0"/>
      <w:pStyle w:val="ListNumber5"/>
      <w:lvlText w:val="%5."/>
      <w:lvlJc w:val="left"/>
      <w:pPr>
        <w:tabs>
          <w:tab w:val="num" w:pos="1785"/>
        </w:tabs>
        <w:ind w:left="1785" w:hanging="357"/>
      </w:pPr>
      <w:rPr>
        <w:rFonts w:hint="default"/>
      </w:rPr>
    </w:lvl>
    <w:lvl w:ilvl="5">
      <w:start w:val="1"/>
      <w:numFmt w:val="decimal"/>
      <w:lvlRestart w:val="0"/>
      <w:lvlText w:val="%6."/>
      <w:lvlJc w:val="left"/>
      <w:pPr>
        <w:tabs>
          <w:tab w:val="num" w:pos="2142"/>
        </w:tabs>
        <w:ind w:left="2142" w:hanging="357"/>
      </w:pPr>
      <w:rPr>
        <w:rFonts w:hint="default"/>
      </w:rPr>
    </w:lvl>
    <w:lvl w:ilvl="6">
      <w:start w:val="1"/>
      <w:numFmt w:val="decimal"/>
      <w:lvlRestart w:val="0"/>
      <w:lvlText w:val="%7."/>
      <w:lvlJc w:val="left"/>
      <w:pPr>
        <w:tabs>
          <w:tab w:val="num" w:pos="2499"/>
        </w:tabs>
        <w:ind w:left="2499" w:hanging="357"/>
      </w:pPr>
      <w:rPr>
        <w:rFonts w:hint="default"/>
      </w:rPr>
    </w:lvl>
    <w:lvl w:ilvl="7">
      <w:start w:val="1"/>
      <w:numFmt w:val="decimal"/>
      <w:lvlRestart w:val="0"/>
      <w:lvlText w:val="%8."/>
      <w:lvlJc w:val="left"/>
      <w:pPr>
        <w:tabs>
          <w:tab w:val="num" w:pos="2856"/>
        </w:tabs>
        <w:ind w:left="2856" w:hanging="357"/>
      </w:pPr>
      <w:rPr>
        <w:rFonts w:hint="default"/>
      </w:rPr>
    </w:lvl>
    <w:lvl w:ilvl="8">
      <w:start w:val="1"/>
      <w:numFmt w:val="decimal"/>
      <w:lvlRestart w:val="0"/>
      <w:lvlText w:val="%9."/>
      <w:lvlJc w:val="left"/>
      <w:pPr>
        <w:tabs>
          <w:tab w:val="num" w:pos="3213"/>
        </w:tabs>
        <w:ind w:left="3213" w:hanging="357"/>
      </w:pPr>
      <w:rPr>
        <w:rFonts w:hint="default"/>
      </w:rPr>
    </w:lvl>
  </w:abstractNum>
  <w:abstractNum w:abstractNumId="37" w15:restartNumberingAfterBreak="0">
    <w:nsid w:val="6F7824B8"/>
    <w:multiLevelType w:val="hybridMultilevel"/>
    <w:tmpl w:val="B178F082"/>
    <w:lvl w:ilvl="0" w:tplc="DB780DA8">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221F4D"/>
    <w:multiLevelType w:val="hybridMultilevel"/>
    <w:tmpl w:val="30D02114"/>
    <w:lvl w:ilvl="0" w:tplc="894CCD78">
      <w:start w:val="1"/>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39" w15:restartNumberingAfterBreak="0">
    <w:nsid w:val="765C0441"/>
    <w:multiLevelType w:val="hybridMultilevel"/>
    <w:tmpl w:val="491AF760"/>
    <w:lvl w:ilvl="0" w:tplc="71E623E8">
      <w:start w:val="1"/>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40" w15:restartNumberingAfterBreak="0">
    <w:nsid w:val="771E0ABF"/>
    <w:multiLevelType w:val="hybridMultilevel"/>
    <w:tmpl w:val="1AAA5116"/>
    <w:lvl w:ilvl="0" w:tplc="192E5292">
      <w:start w:val="2"/>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41" w15:restartNumberingAfterBreak="0">
    <w:nsid w:val="79BC7E37"/>
    <w:multiLevelType w:val="hybridMultilevel"/>
    <w:tmpl w:val="E25EBAB2"/>
    <w:lvl w:ilvl="0" w:tplc="9AE4C0FA">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20004A"/>
    <w:multiLevelType w:val="hybridMultilevel"/>
    <w:tmpl w:val="A126C178"/>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3" w15:restartNumberingAfterBreak="0">
    <w:nsid w:val="7A2540C6"/>
    <w:multiLevelType w:val="hybridMultilevel"/>
    <w:tmpl w:val="CA9C5D60"/>
    <w:lvl w:ilvl="0" w:tplc="71E623E8">
      <w:start w:val="1"/>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44" w15:restartNumberingAfterBreak="0">
    <w:nsid w:val="7CA87AC2"/>
    <w:multiLevelType w:val="hybridMultilevel"/>
    <w:tmpl w:val="350A32A8"/>
    <w:lvl w:ilvl="0" w:tplc="2F145DC8">
      <w:start w:val="2"/>
      <w:numFmt w:val="lowerRoman"/>
      <w:lvlText w:val="%1."/>
      <w:lvlJc w:val="left"/>
      <w:pPr>
        <w:ind w:left="2700" w:hanging="720"/>
      </w:pPr>
      <w:rPr>
        <w:rFonts w:hint="default"/>
      </w:r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45" w15:restartNumberingAfterBreak="0">
    <w:nsid w:val="7F204CE2"/>
    <w:multiLevelType w:val="hybridMultilevel"/>
    <w:tmpl w:val="3E781720"/>
    <w:lvl w:ilvl="0" w:tplc="EC0E833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2"/>
  </w:num>
  <w:num w:numId="3">
    <w:abstractNumId w:val="36"/>
  </w:num>
  <w:num w:numId="4">
    <w:abstractNumId w:val="12"/>
  </w:num>
  <w:num w:numId="5">
    <w:abstractNumId w:val="10"/>
  </w:num>
  <w:num w:numId="6">
    <w:abstractNumId w:val="0"/>
  </w:num>
  <w:num w:numId="7">
    <w:abstractNumId w:val="1"/>
  </w:num>
  <w:num w:numId="8">
    <w:abstractNumId w:val="14"/>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42"/>
  </w:num>
  <w:num w:numId="12">
    <w:abstractNumId w:val="19"/>
  </w:num>
  <w:num w:numId="13">
    <w:abstractNumId w:val="27"/>
  </w:num>
  <w:num w:numId="14">
    <w:abstractNumId w:val="38"/>
  </w:num>
  <w:num w:numId="15">
    <w:abstractNumId w:val="25"/>
  </w:num>
  <w:num w:numId="16">
    <w:abstractNumId w:val="43"/>
  </w:num>
  <w:num w:numId="17">
    <w:abstractNumId w:val="29"/>
  </w:num>
  <w:num w:numId="18">
    <w:abstractNumId w:val="7"/>
  </w:num>
  <w:num w:numId="19">
    <w:abstractNumId w:val="8"/>
  </w:num>
  <w:num w:numId="20">
    <w:abstractNumId w:val="39"/>
  </w:num>
  <w:num w:numId="21">
    <w:abstractNumId w:val="26"/>
  </w:num>
  <w:num w:numId="22">
    <w:abstractNumId w:val="6"/>
  </w:num>
  <w:num w:numId="23">
    <w:abstractNumId w:val="40"/>
  </w:num>
  <w:num w:numId="24">
    <w:abstractNumId w:val="44"/>
  </w:num>
  <w:num w:numId="25">
    <w:abstractNumId w:val="17"/>
  </w:num>
  <w:num w:numId="26">
    <w:abstractNumId w:val="41"/>
  </w:num>
  <w:num w:numId="27">
    <w:abstractNumId w:val="35"/>
  </w:num>
  <w:num w:numId="28">
    <w:abstractNumId w:val="45"/>
  </w:num>
  <w:num w:numId="29">
    <w:abstractNumId w:val="34"/>
  </w:num>
  <w:num w:numId="30">
    <w:abstractNumId w:val="5"/>
  </w:num>
  <w:num w:numId="31">
    <w:abstractNumId w:val="16"/>
  </w:num>
  <w:num w:numId="32">
    <w:abstractNumId w:val="8"/>
  </w:num>
  <w:num w:numId="33">
    <w:abstractNumId w:val="43"/>
  </w:num>
  <w:num w:numId="34">
    <w:abstractNumId w:val="37"/>
  </w:num>
  <w:num w:numId="35">
    <w:abstractNumId w:val="4"/>
  </w:num>
  <w:num w:numId="36">
    <w:abstractNumId w:val="11"/>
  </w:num>
  <w:num w:numId="37">
    <w:abstractNumId w:val="24"/>
  </w:num>
  <w:num w:numId="38">
    <w:abstractNumId w:val="18"/>
  </w:num>
  <w:num w:numId="39">
    <w:abstractNumId w:val="32"/>
  </w:num>
  <w:num w:numId="40">
    <w:abstractNumId w:val="13"/>
  </w:num>
  <w:num w:numId="41">
    <w:abstractNumId w:val="28"/>
  </w:num>
  <w:num w:numId="42">
    <w:abstractNumId w:val="21"/>
  </w:num>
  <w:num w:numId="43">
    <w:abstractNumId w:val="3"/>
  </w:num>
  <w:num w:numId="44">
    <w:abstractNumId w:val="15"/>
  </w:num>
  <w:num w:numId="45">
    <w:abstractNumId w:val="31"/>
  </w:num>
  <w:num w:numId="46">
    <w:abstractNumId w:val="30"/>
  </w:num>
  <w:num w:numId="47">
    <w:abstractNumId w:val="22"/>
  </w:num>
  <w:num w:numId="48">
    <w:abstractNumId w:val="33"/>
  </w:num>
  <w:num w:numId="49">
    <w:abstractNumId w:val="23"/>
  </w:num>
  <w:num w:numId="5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hideSpellingErrors/>
  <w:hideGrammaticalErrors/>
  <w:activeWritingStyle w:appName="MSWord" w:lang="de-CH" w:vendorID="64" w:dllVersion="6" w:nlCheck="1" w:checkStyle="0"/>
  <w:activeWritingStyle w:appName="MSWord" w:lang="en-US" w:vendorID="64" w:dllVersion="6" w:nlCheck="1" w:checkStyle="1"/>
  <w:activeWritingStyle w:appName="MSWord" w:lang="pt-BR" w:vendorID="64" w:dllVersion="6" w:nlCheck="1" w:checkStyle="0"/>
  <w:activeWritingStyle w:appName="MSWord" w:lang="en-US" w:vendorID="64" w:dllVersion="0" w:nlCheck="1" w:checkStyle="0"/>
  <w:activeWritingStyle w:appName="MSWord" w:lang="de-CH" w:vendorID="64" w:dllVersion="0" w:nlCheck="1" w:checkStyle="0"/>
  <w:activeWritingStyle w:appName="MSWord" w:lang="en-GB" w:vendorID="64" w:dllVersion="0" w:nlCheck="1" w:checkStyle="0"/>
  <w:activeWritingStyle w:appName="MSWord" w:lang="en-SG" w:vendorID="64" w:dllVersion="0" w:nlCheck="1" w:checkStyle="0"/>
  <w:activeWritingStyle w:appName="MSWord" w:lang="de-DE" w:vendorID="64" w:dllVersion="0" w:nlCheck="1" w:checkStyle="0"/>
  <w:activeWritingStyle w:appName="MSWord" w:lang="en-GB" w:vendorID="64" w:dllVersion="6" w:nlCheck="1" w:checkStyle="1"/>
  <w:activeWritingStyle w:appName="MSWord" w:lang="fr-FR" w:vendorID="64" w:dllVersion="0" w:nlCheck="1" w:checkStyle="0"/>
  <w:activeWritingStyle w:appName="MSWord" w:lang="sv-SE" w:vendorID="64" w:dllVersion="0" w:nlCheck="1" w:checkStyle="0"/>
  <w:activeWritingStyle w:appName="MSWord" w:lang="da-DK" w:vendorID="64" w:dllVersion="0" w:nlCheck="1" w:checkStyle="0"/>
  <w:activeWritingStyle w:appName="MSWord" w:lang="fi-FI" w:vendorID="64" w:dllVersion="0" w:nlCheck="1" w:checkStyle="0"/>
  <w:activeWritingStyle w:appName="MSWord" w:lang="it-IT" w:vendorID="64" w:dllVersion="0" w:nlCheck="1" w:checkStyle="0"/>
  <w:activeWritingStyle w:appName="MSWord" w:lang="nl-NL" w:vendorID="64" w:dllVersion="0" w:nlCheck="1" w:checkStyle="0"/>
  <w:activeWritingStyle w:appName="MSWord" w:lang="fr-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Moves/>
  <w:doNotTrackFormatting/>
  <w:documentProtection w:edit="forms" w:enforcement="0"/>
  <w:defaultTabStop w:val="720"/>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FooterText" w:val="L\332635303.1"/>
    <w:docVar w:name="Office" w:val="BaarZug"/>
  </w:docVars>
  <w:rsids>
    <w:rsidRoot w:val="00A8105B"/>
    <w:rsid w:val="00000154"/>
    <w:rsid w:val="0000032F"/>
    <w:rsid w:val="00000FBB"/>
    <w:rsid w:val="00001331"/>
    <w:rsid w:val="000018A7"/>
    <w:rsid w:val="00001B2E"/>
    <w:rsid w:val="00001BBA"/>
    <w:rsid w:val="00002970"/>
    <w:rsid w:val="00002B7C"/>
    <w:rsid w:val="00002D46"/>
    <w:rsid w:val="00002DDC"/>
    <w:rsid w:val="00003282"/>
    <w:rsid w:val="00003914"/>
    <w:rsid w:val="00004F4D"/>
    <w:rsid w:val="00004F51"/>
    <w:rsid w:val="000051C6"/>
    <w:rsid w:val="00005225"/>
    <w:rsid w:val="00005A98"/>
    <w:rsid w:val="0000622C"/>
    <w:rsid w:val="00006984"/>
    <w:rsid w:val="000069E9"/>
    <w:rsid w:val="00006ABC"/>
    <w:rsid w:val="00006CB5"/>
    <w:rsid w:val="00007627"/>
    <w:rsid w:val="00007EB8"/>
    <w:rsid w:val="00010433"/>
    <w:rsid w:val="00010805"/>
    <w:rsid w:val="00010E6D"/>
    <w:rsid w:val="0001156F"/>
    <w:rsid w:val="0001183A"/>
    <w:rsid w:val="0001270B"/>
    <w:rsid w:val="00012A9E"/>
    <w:rsid w:val="0001304C"/>
    <w:rsid w:val="0001328C"/>
    <w:rsid w:val="0001330D"/>
    <w:rsid w:val="000139C6"/>
    <w:rsid w:val="00014214"/>
    <w:rsid w:val="00014F28"/>
    <w:rsid w:val="00014F53"/>
    <w:rsid w:val="00014F54"/>
    <w:rsid w:val="00015C8D"/>
    <w:rsid w:val="00015D17"/>
    <w:rsid w:val="00015F0B"/>
    <w:rsid w:val="00016805"/>
    <w:rsid w:val="0001776A"/>
    <w:rsid w:val="00017B18"/>
    <w:rsid w:val="00020009"/>
    <w:rsid w:val="000202C1"/>
    <w:rsid w:val="000219D2"/>
    <w:rsid w:val="00021D63"/>
    <w:rsid w:val="000229F4"/>
    <w:rsid w:val="00023038"/>
    <w:rsid w:val="000237FB"/>
    <w:rsid w:val="00023851"/>
    <w:rsid w:val="000241A4"/>
    <w:rsid w:val="00025025"/>
    <w:rsid w:val="00025B5D"/>
    <w:rsid w:val="00025FCA"/>
    <w:rsid w:val="000262DD"/>
    <w:rsid w:val="0002665A"/>
    <w:rsid w:val="00026B0A"/>
    <w:rsid w:val="00026B71"/>
    <w:rsid w:val="00026BF7"/>
    <w:rsid w:val="0002712C"/>
    <w:rsid w:val="00027D4C"/>
    <w:rsid w:val="00027D4F"/>
    <w:rsid w:val="00027F00"/>
    <w:rsid w:val="000301D6"/>
    <w:rsid w:val="0003021B"/>
    <w:rsid w:val="000311B5"/>
    <w:rsid w:val="00031719"/>
    <w:rsid w:val="000317E4"/>
    <w:rsid w:val="00032938"/>
    <w:rsid w:val="00032A99"/>
    <w:rsid w:val="00032C6C"/>
    <w:rsid w:val="00033F77"/>
    <w:rsid w:val="00034B95"/>
    <w:rsid w:val="000352C7"/>
    <w:rsid w:val="00035559"/>
    <w:rsid w:val="00035FF3"/>
    <w:rsid w:val="000364BC"/>
    <w:rsid w:val="00037E3C"/>
    <w:rsid w:val="0004091D"/>
    <w:rsid w:val="00040FF2"/>
    <w:rsid w:val="00041CA5"/>
    <w:rsid w:val="000422F8"/>
    <w:rsid w:val="000429F9"/>
    <w:rsid w:val="000441E8"/>
    <w:rsid w:val="0004445C"/>
    <w:rsid w:val="00044CF9"/>
    <w:rsid w:val="00045428"/>
    <w:rsid w:val="00046E6D"/>
    <w:rsid w:val="00046E75"/>
    <w:rsid w:val="00047CAF"/>
    <w:rsid w:val="0005011B"/>
    <w:rsid w:val="00050950"/>
    <w:rsid w:val="00050D8A"/>
    <w:rsid w:val="000520E2"/>
    <w:rsid w:val="00052545"/>
    <w:rsid w:val="00053225"/>
    <w:rsid w:val="00053CC1"/>
    <w:rsid w:val="00054CCF"/>
    <w:rsid w:val="000553DC"/>
    <w:rsid w:val="000558D8"/>
    <w:rsid w:val="00055B7B"/>
    <w:rsid w:val="00055FF3"/>
    <w:rsid w:val="00056212"/>
    <w:rsid w:val="00056513"/>
    <w:rsid w:val="00056709"/>
    <w:rsid w:val="000575D5"/>
    <w:rsid w:val="00057B35"/>
    <w:rsid w:val="00060190"/>
    <w:rsid w:val="00060855"/>
    <w:rsid w:val="00060FFE"/>
    <w:rsid w:val="000613C5"/>
    <w:rsid w:val="00061ADF"/>
    <w:rsid w:val="00062296"/>
    <w:rsid w:val="000622FF"/>
    <w:rsid w:val="0006241B"/>
    <w:rsid w:val="0006360B"/>
    <w:rsid w:val="0006380E"/>
    <w:rsid w:val="00063D2E"/>
    <w:rsid w:val="0006426B"/>
    <w:rsid w:val="00064433"/>
    <w:rsid w:val="000647FD"/>
    <w:rsid w:val="00064A2D"/>
    <w:rsid w:val="00064C6A"/>
    <w:rsid w:val="00064F06"/>
    <w:rsid w:val="000656D9"/>
    <w:rsid w:val="000662BF"/>
    <w:rsid w:val="00066998"/>
    <w:rsid w:val="00066A62"/>
    <w:rsid w:val="00067544"/>
    <w:rsid w:val="0006779F"/>
    <w:rsid w:val="00070D83"/>
    <w:rsid w:val="00071566"/>
    <w:rsid w:val="000715CF"/>
    <w:rsid w:val="00071D6E"/>
    <w:rsid w:val="00071E7C"/>
    <w:rsid w:val="0007203B"/>
    <w:rsid w:val="00072D0B"/>
    <w:rsid w:val="00073E34"/>
    <w:rsid w:val="0007481C"/>
    <w:rsid w:val="00075DD6"/>
    <w:rsid w:val="00076626"/>
    <w:rsid w:val="00076BFC"/>
    <w:rsid w:val="000802CA"/>
    <w:rsid w:val="00080877"/>
    <w:rsid w:val="00080CBC"/>
    <w:rsid w:val="00080E2A"/>
    <w:rsid w:val="000811E6"/>
    <w:rsid w:val="00081268"/>
    <w:rsid w:val="00081943"/>
    <w:rsid w:val="00081F78"/>
    <w:rsid w:val="000823C4"/>
    <w:rsid w:val="0008265F"/>
    <w:rsid w:val="00082E2B"/>
    <w:rsid w:val="00082F1E"/>
    <w:rsid w:val="00083404"/>
    <w:rsid w:val="00083FC1"/>
    <w:rsid w:val="0008452B"/>
    <w:rsid w:val="000855F3"/>
    <w:rsid w:val="00085946"/>
    <w:rsid w:val="00086B0C"/>
    <w:rsid w:val="00086F9A"/>
    <w:rsid w:val="0008716D"/>
    <w:rsid w:val="00087B5C"/>
    <w:rsid w:val="000901D2"/>
    <w:rsid w:val="00090245"/>
    <w:rsid w:val="0009042C"/>
    <w:rsid w:val="000917A4"/>
    <w:rsid w:val="00091B11"/>
    <w:rsid w:val="0009203D"/>
    <w:rsid w:val="00092449"/>
    <w:rsid w:val="000928F1"/>
    <w:rsid w:val="00092DD6"/>
    <w:rsid w:val="00094241"/>
    <w:rsid w:val="00094543"/>
    <w:rsid w:val="00094980"/>
    <w:rsid w:val="000949ED"/>
    <w:rsid w:val="00095A34"/>
    <w:rsid w:val="00096101"/>
    <w:rsid w:val="00097C43"/>
    <w:rsid w:val="00097FD4"/>
    <w:rsid w:val="000A03B1"/>
    <w:rsid w:val="000A0414"/>
    <w:rsid w:val="000A05B8"/>
    <w:rsid w:val="000A0FED"/>
    <w:rsid w:val="000A128F"/>
    <w:rsid w:val="000A24E3"/>
    <w:rsid w:val="000A284E"/>
    <w:rsid w:val="000A2A57"/>
    <w:rsid w:val="000A304A"/>
    <w:rsid w:val="000A3131"/>
    <w:rsid w:val="000A38E9"/>
    <w:rsid w:val="000A3F5A"/>
    <w:rsid w:val="000A41A5"/>
    <w:rsid w:val="000A481B"/>
    <w:rsid w:val="000A4B1A"/>
    <w:rsid w:val="000A4EEC"/>
    <w:rsid w:val="000A4F2D"/>
    <w:rsid w:val="000A6E53"/>
    <w:rsid w:val="000A6F6A"/>
    <w:rsid w:val="000A757F"/>
    <w:rsid w:val="000B00E0"/>
    <w:rsid w:val="000B0731"/>
    <w:rsid w:val="000B0F32"/>
    <w:rsid w:val="000B3CB2"/>
    <w:rsid w:val="000B3E54"/>
    <w:rsid w:val="000B4559"/>
    <w:rsid w:val="000B4E6D"/>
    <w:rsid w:val="000B57B6"/>
    <w:rsid w:val="000B58B2"/>
    <w:rsid w:val="000B5D4D"/>
    <w:rsid w:val="000B60AC"/>
    <w:rsid w:val="000B6E96"/>
    <w:rsid w:val="000B7B68"/>
    <w:rsid w:val="000B7F17"/>
    <w:rsid w:val="000C03A3"/>
    <w:rsid w:val="000C0856"/>
    <w:rsid w:val="000C0F04"/>
    <w:rsid w:val="000C14AD"/>
    <w:rsid w:val="000C163A"/>
    <w:rsid w:val="000C1BE2"/>
    <w:rsid w:val="000C284E"/>
    <w:rsid w:val="000C2CA7"/>
    <w:rsid w:val="000C2CC2"/>
    <w:rsid w:val="000C2EB7"/>
    <w:rsid w:val="000C2F6B"/>
    <w:rsid w:val="000C3222"/>
    <w:rsid w:val="000C3489"/>
    <w:rsid w:val="000C4B18"/>
    <w:rsid w:val="000C4B77"/>
    <w:rsid w:val="000C6280"/>
    <w:rsid w:val="000C66AF"/>
    <w:rsid w:val="000C6B9E"/>
    <w:rsid w:val="000C7B9B"/>
    <w:rsid w:val="000D03E8"/>
    <w:rsid w:val="000D0468"/>
    <w:rsid w:val="000D0706"/>
    <w:rsid w:val="000D0C26"/>
    <w:rsid w:val="000D1B1C"/>
    <w:rsid w:val="000D2B50"/>
    <w:rsid w:val="000D307D"/>
    <w:rsid w:val="000D3822"/>
    <w:rsid w:val="000D3ADF"/>
    <w:rsid w:val="000D4B93"/>
    <w:rsid w:val="000D5A22"/>
    <w:rsid w:val="000D5DA4"/>
    <w:rsid w:val="000D5DD8"/>
    <w:rsid w:val="000D5E4D"/>
    <w:rsid w:val="000D69D1"/>
    <w:rsid w:val="000D6C3A"/>
    <w:rsid w:val="000D7017"/>
    <w:rsid w:val="000D70FE"/>
    <w:rsid w:val="000D7759"/>
    <w:rsid w:val="000D7773"/>
    <w:rsid w:val="000E057E"/>
    <w:rsid w:val="000E0744"/>
    <w:rsid w:val="000E0E34"/>
    <w:rsid w:val="000E116E"/>
    <w:rsid w:val="000E2407"/>
    <w:rsid w:val="000E3AAB"/>
    <w:rsid w:val="000E3D06"/>
    <w:rsid w:val="000E4471"/>
    <w:rsid w:val="000E45C2"/>
    <w:rsid w:val="000E54E9"/>
    <w:rsid w:val="000E5506"/>
    <w:rsid w:val="000E5FF1"/>
    <w:rsid w:val="000E6617"/>
    <w:rsid w:val="000E698D"/>
    <w:rsid w:val="000E6CEF"/>
    <w:rsid w:val="000E6F1D"/>
    <w:rsid w:val="000E7002"/>
    <w:rsid w:val="000E7825"/>
    <w:rsid w:val="000E790A"/>
    <w:rsid w:val="000F00E5"/>
    <w:rsid w:val="000F024D"/>
    <w:rsid w:val="000F0613"/>
    <w:rsid w:val="000F0F6B"/>
    <w:rsid w:val="000F12DF"/>
    <w:rsid w:val="000F2356"/>
    <w:rsid w:val="000F2612"/>
    <w:rsid w:val="000F32B2"/>
    <w:rsid w:val="000F42D9"/>
    <w:rsid w:val="000F4633"/>
    <w:rsid w:val="000F50DF"/>
    <w:rsid w:val="000F591C"/>
    <w:rsid w:val="000F6299"/>
    <w:rsid w:val="000F6769"/>
    <w:rsid w:val="000F73FC"/>
    <w:rsid w:val="000F77A7"/>
    <w:rsid w:val="000F783F"/>
    <w:rsid w:val="000F7945"/>
    <w:rsid w:val="000F7ACF"/>
    <w:rsid w:val="000F7F30"/>
    <w:rsid w:val="000F7F91"/>
    <w:rsid w:val="00100763"/>
    <w:rsid w:val="00100C47"/>
    <w:rsid w:val="00100D90"/>
    <w:rsid w:val="001014E6"/>
    <w:rsid w:val="00101A11"/>
    <w:rsid w:val="00101B08"/>
    <w:rsid w:val="001029BE"/>
    <w:rsid w:val="00102C1E"/>
    <w:rsid w:val="00102E6E"/>
    <w:rsid w:val="001030E9"/>
    <w:rsid w:val="0010353A"/>
    <w:rsid w:val="00103763"/>
    <w:rsid w:val="0010378A"/>
    <w:rsid w:val="00103B4D"/>
    <w:rsid w:val="0010531C"/>
    <w:rsid w:val="0010620E"/>
    <w:rsid w:val="0010631C"/>
    <w:rsid w:val="00106C7A"/>
    <w:rsid w:val="001100B6"/>
    <w:rsid w:val="00110F83"/>
    <w:rsid w:val="00111225"/>
    <w:rsid w:val="00111474"/>
    <w:rsid w:val="001119D0"/>
    <w:rsid w:val="00111F22"/>
    <w:rsid w:val="001133E7"/>
    <w:rsid w:val="001135CE"/>
    <w:rsid w:val="00113696"/>
    <w:rsid w:val="00113CA5"/>
    <w:rsid w:val="001142FB"/>
    <w:rsid w:val="00114D8E"/>
    <w:rsid w:val="001152E1"/>
    <w:rsid w:val="00115AFD"/>
    <w:rsid w:val="00115C93"/>
    <w:rsid w:val="00116125"/>
    <w:rsid w:val="0011659C"/>
    <w:rsid w:val="00116E1E"/>
    <w:rsid w:val="001178F9"/>
    <w:rsid w:val="00117E5A"/>
    <w:rsid w:val="00117FCF"/>
    <w:rsid w:val="0012019A"/>
    <w:rsid w:val="0012122C"/>
    <w:rsid w:val="00121FE3"/>
    <w:rsid w:val="00122352"/>
    <w:rsid w:val="001223C9"/>
    <w:rsid w:val="00122D87"/>
    <w:rsid w:val="00122EC9"/>
    <w:rsid w:val="0012316B"/>
    <w:rsid w:val="001232A8"/>
    <w:rsid w:val="001235B5"/>
    <w:rsid w:val="001239A7"/>
    <w:rsid w:val="0012403D"/>
    <w:rsid w:val="00124447"/>
    <w:rsid w:val="001247B9"/>
    <w:rsid w:val="001249E3"/>
    <w:rsid w:val="0012524B"/>
    <w:rsid w:val="00125333"/>
    <w:rsid w:val="001254FB"/>
    <w:rsid w:val="00125609"/>
    <w:rsid w:val="00125B37"/>
    <w:rsid w:val="00125EA0"/>
    <w:rsid w:val="00126672"/>
    <w:rsid w:val="00127110"/>
    <w:rsid w:val="00127523"/>
    <w:rsid w:val="001275EB"/>
    <w:rsid w:val="001301D7"/>
    <w:rsid w:val="001306E6"/>
    <w:rsid w:val="00130D36"/>
    <w:rsid w:val="00131281"/>
    <w:rsid w:val="0013135D"/>
    <w:rsid w:val="00131BAC"/>
    <w:rsid w:val="00131C00"/>
    <w:rsid w:val="001323DF"/>
    <w:rsid w:val="00132C37"/>
    <w:rsid w:val="00132CC2"/>
    <w:rsid w:val="00132EB2"/>
    <w:rsid w:val="001333E6"/>
    <w:rsid w:val="00133965"/>
    <w:rsid w:val="00133E2A"/>
    <w:rsid w:val="001343D3"/>
    <w:rsid w:val="001365AA"/>
    <w:rsid w:val="0013661B"/>
    <w:rsid w:val="00137574"/>
    <w:rsid w:val="00137951"/>
    <w:rsid w:val="00137D58"/>
    <w:rsid w:val="00137D72"/>
    <w:rsid w:val="001401E4"/>
    <w:rsid w:val="00140340"/>
    <w:rsid w:val="00140A0E"/>
    <w:rsid w:val="00141706"/>
    <w:rsid w:val="00141E91"/>
    <w:rsid w:val="00142030"/>
    <w:rsid w:val="0014380C"/>
    <w:rsid w:val="00143B00"/>
    <w:rsid w:val="00143EC9"/>
    <w:rsid w:val="0014429F"/>
    <w:rsid w:val="0014479D"/>
    <w:rsid w:val="001447EC"/>
    <w:rsid w:val="00144D47"/>
    <w:rsid w:val="001451E7"/>
    <w:rsid w:val="00145220"/>
    <w:rsid w:val="001508CF"/>
    <w:rsid w:val="00151086"/>
    <w:rsid w:val="00151DAD"/>
    <w:rsid w:val="0015236B"/>
    <w:rsid w:val="0015272F"/>
    <w:rsid w:val="001529E6"/>
    <w:rsid w:val="00152F34"/>
    <w:rsid w:val="00152F69"/>
    <w:rsid w:val="0015473B"/>
    <w:rsid w:val="0015506D"/>
    <w:rsid w:val="00155294"/>
    <w:rsid w:val="00155360"/>
    <w:rsid w:val="0015578F"/>
    <w:rsid w:val="00155E6D"/>
    <w:rsid w:val="001560EE"/>
    <w:rsid w:val="001562ED"/>
    <w:rsid w:val="001567BE"/>
    <w:rsid w:val="00157028"/>
    <w:rsid w:val="00157565"/>
    <w:rsid w:val="001577CE"/>
    <w:rsid w:val="001600E0"/>
    <w:rsid w:val="0016049C"/>
    <w:rsid w:val="001615F9"/>
    <w:rsid w:val="0016192A"/>
    <w:rsid w:val="00161D5F"/>
    <w:rsid w:val="0016303E"/>
    <w:rsid w:val="0016304F"/>
    <w:rsid w:val="001632C8"/>
    <w:rsid w:val="0016424B"/>
    <w:rsid w:val="0016472C"/>
    <w:rsid w:val="0016499A"/>
    <w:rsid w:val="00164A8C"/>
    <w:rsid w:val="00164AE6"/>
    <w:rsid w:val="001655B4"/>
    <w:rsid w:val="0016584D"/>
    <w:rsid w:val="001669AF"/>
    <w:rsid w:val="00167026"/>
    <w:rsid w:val="001674DB"/>
    <w:rsid w:val="0016781D"/>
    <w:rsid w:val="00167FAE"/>
    <w:rsid w:val="00170522"/>
    <w:rsid w:val="00170BD3"/>
    <w:rsid w:val="001711EF"/>
    <w:rsid w:val="00171DFB"/>
    <w:rsid w:val="001720AD"/>
    <w:rsid w:val="00172289"/>
    <w:rsid w:val="00172931"/>
    <w:rsid w:val="00172F08"/>
    <w:rsid w:val="0017342B"/>
    <w:rsid w:val="001735B0"/>
    <w:rsid w:val="001745CB"/>
    <w:rsid w:val="00174ADF"/>
    <w:rsid w:val="001750CB"/>
    <w:rsid w:val="00177376"/>
    <w:rsid w:val="00177EE4"/>
    <w:rsid w:val="0018183A"/>
    <w:rsid w:val="001818ED"/>
    <w:rsid w:val="00181C02"/>
    <w:rsid w:val="00181CD4"/>
    <w:rsid w:val="00182333"/>
    <w:rsid w:val="0018386D"/>
    <w:rsid w:val="00183CB5"/>
    <w:rsid w:val="0018462B"/>
    <w:rsid w:val="0018494A"/>
    <w:rsid w:val="00184BF0"/>
    <w:rsid w:val="0018501C"/>
    <w:rsid w:val="00185211"/>
    <w:rsid w:val="00185D69"/>
    <w:rsid w:val="00186315"/>
    <w:rsid w:val="0018676F"/>
    <w:rsid w:val="0019011D"/>
    <w:rsid w:val="00190ED7"/>
    <w:rsid w:val="00191033"/>
    <w:rsid w:val="001915AB"/>
    <w:rsid w:val="00191C88"/>
    <w:rsid w:val="00191EAF"/>
    <w:rsid w:val="00191EB9"/>
    <w:rsid w:val="0019257F"/>
    <w:rsid w:val="00192BB8"/>
    <w:rsid w:val="00194702"/>
    <w:rsid w:val="001952ED"/>
    <w:rsid w:val="001955A2"/>
    <w:rsid w:val="00196CE7"/>
    <w:rsid w:val="00196D62"/>
    <w:rsid w:val="001975A9"/>
    <w:rsid w:val="00197CC3"/>
    <w:rsid w:val="001A123A"/>
    <w:rsid w:val="001A172F"/>
    <w:rsid w:val="001A1BE5"/>
    <w:rsid w:val="001A289B"/>
    <w:rsid w:val="001A493A"/>
    <w:rsid w:val="001A4DAE"/>
    <w:rsid w:val="001A50A5"/>
    <w:rsid w:val="001A5A9C"/>
    <w:rsid w:val="001A60C6"/>
    <w:rsid w:val="001A6368"/>
    <w:rsid w:val="001A6AB8"/>
    <w:rsid w:val="001A6CBF"/>
    <w:rsid w:val="001A6FEF"/>
    <w:rsid w:val="001A77B2"/>
    <w:rsid w:val="001A77D8"/>
    <w:rsid w:val="001A7946"/>
    <w:rsid w:val="001A7F79"/>
    <w:rsid w:val="001B0017"/>
    <w:rsid w:val="001B04E6"/>
    <w:rsid w:val="001B054F"/>
    <w:rsid w:val="001B122A"/>
    <w:rsid w:val="001B1C5F"/>
    <w:rsid w:val="001B1F77"/>
    <w:rsid w:val="001B253C"/>
    <w:rsid w:val="001B28AD"/>
    <w:rsid w:val="001B3550"/>
    <w:rsid w:val="001B35B4"/>
    <w:rsid w:val="001B39CE"/>
    <w:rsid w:val="001B45E7"/>
    <w:rsid w:val="001B485B"/>
    <w:rsid w:val="001B6E64"/>
    <w:rsid w:val="001B6F35"/>
    <w:rsid w:val="001B769C"/>
    <w:rsid w:val="001C0D75"/>
    <w:rsid w:val="001C1CA9"/>
    <w:rsid w:val="001C2F99"/>
    <w:rsid w:val="001C3065"/>
    <w:rsid w:val="001C392F"/>
    <w:rsid w:val="001C5D83"/>
    <w:rsid w:val="001C5FA1"/>
    <w:rsid w:val="001C6501"/>
    <w:rsid w:val="001C66E3"/>
    <w:rsid w:val="001C674E"/>
    <w:rsid w:val="001C6852"/>
    <w:rsid w:val="001C6C2C"/>
    <w:rsid w:val="001C73D0"/>
    <w:rsid w:val="001C7857"/>
    <w:rsid w:val="001C79F6"/>
    <w:rsid w:val="001C7D76"/>
    <w:rsid w:val="001D1471"/>
    <w:rsid w:val="001D1B0C"/>
    <w:rsid w:val="001D2038"/>
    <w:rsid w:val="001D21F4"/>
    <w:rsid w:val="001D294B"/>
    <w:rsid w:val="001D2C88"/>
    <w:rsid w:val="001D2CE8"/>
    <w:rsid w:val="001D2EE2"/>
    <w:rsid w:val="001D429E"/>
    <w:rsid w:val="001D4894"/>
    <w:rsid w:val="001D5B0C"/>
    <w:rsid w:val="001D6AAC"/>
    <w:rsid w:val="001D6D72"/>
    <w:rsid w:val="001D7A04"/>
    <w:rsid w:val="001D7D69"/>
    <w:rsid w:val="001E0651"/>
    <w:rsid w:val="001E06B4"/>
    <w:rsid w:val="001E0B76"/>
    <w:rsid w:val="001E1F83"/>
    <w:rsid w:val="001E238D"/>
    <w:rsid w:val="001E2E52"/>
    <w:rsid w:val="001E3780"/>
    <w:rsid w:val="001E430E"/>
    <w:rsid w:val="001E5D3F"/>
    <w:rsid w:val="001E6FD1"/>
    <w:rsid w:val="001E79BC"/>
    <w:rsid w:val="001E7C47"/>
    <w:rsid w:val="001F089C"/>
    <w:rsid w:val="001F0D5F"/>
    <w:rsid w:val="001F1B9D"/>
    <w:rsid w:val="001F1CA5"/>
    <w:rsid w:val="001F2496"/>
    <w:rsid w:val="001F36D2"/>
    <w:rsid w:val="001F39EC"/>
    <w:rsid w:val="001F3EE2"/>
    <w:rsid w:val="001F44F3"/>
    <w:rsid w:val="001F4989"/>
    <w:rsid w:val="001F4ACB"/>
    <w:rsid w:val="001F4D4E"/>
    <w:rsid w:val="001F4F4D"/>
    <w:rsid w:val="001F5864"/>
    <w:rsid w:val="001F5947"/>
    <w:rsid w:val="001F5EB4"/>
    <w:rsid w:val="001F6BB7"/>
    <w:rsid w:val="001F75ED"/>
    <w:rsid w:val="001F7C89"/>
    <w:rsid w:val="00201040"/>
    <w:rsid w:val="002017C1"/>
    <w:rsid w:val="0020240C"/>
    <w:rsid w:val="002027B7"/>
    <w:rsid w:val="00202955"/>
    <w:rsid w:val="00202F4D"/>
    <w:rsid w:val="002030FF"/>
    <w:rsid w:val="00203354"/>
    <w:rsid w:val="002039C3"/>
    <w:rsid w:val="00206505"/>
    <w:rsid w:val="00206580"/>
    <w:rsid w:val="002068B6"/>
    <w:rsid w:val="00207354"/>
    <w:rsid w:val="00207432"/>
    <w:rsid w:val="00207A4E"/>
    <w:rsid w:val="002110BC"/>
    <w:rsid w:val="00211989"/>
    <w:rsid w:val="002120A0"/>
    <w:rsid w:val="0021237E"/>
    <w:rsid w:val="00212A59"/>
    <w:rsid w:val="00212B26"/>
    <w:rsid w:val="00212BA6"/>
    <w:rsid w:val="00213496"/>
    <w:rsid w:val="00213788"/>
    <w:rsid w:val="002143D9"/>
    <w:rsid w:val="00214CFE"/>
    <w:rsid w:val="00214FFB"/>
    <w:rsid w:val="0021585D"/>
    <w:rsid w:val="00215AFA"/>
    <w:rsid w:val="00215DF1"/>
    <w:rsid w:val="002161B4"/>
    <w:rsid w:val="00216EA5"/>
    <w:rsid w:val="00221004"/>
    <w:rsid w:val="002223D1"/>
    <w:rsid w:val="00222776"/>
    <w:rsid w:val="002228DD"/>
    <w:rsid w:val="00222FA2"/>
    <w:rsid w:val="0022314E"/>
    <w:rsid w:val="002231A9"/>
    <w:rsid w:val="0022369C"/>
    <w:rsid w:val="002237B8"/>
    <w:rsid w:val="00223921"/>
    <w:rsid w:val="00223947"/>
    <w:rsid w:val="00224392"/>
    <w:rsid w:val="00224548"/>
    <w:rsid w:val="002249D1"/>
    <w:rsid w:val="00225A7D"/>
    <w:rsid w:val="0022607D"/>
    <w:rsid w:val="002260BA"/>
    <w:rsid w:val="002263BB"/>
    <w:rsid w:val="00226A1F"/>
    <w:rsid w:val="00227090"/>
    <w:rsid w:val="00227686"/>
    <w:rsid w:val="00230236"/>
    <w:rsid w:val="002315E1"/>
    <w:rsid w:val="002316CD"/>
    <w:rsid w:val="00231D91"/>
    <w:rsid w:val="002329D5"/>
    <w:rsid w:val="00234072"/>
    <w:rsid w:val="0023415B"/>
    <w:rsid w:val="002341A9"/>
    <w:rsid w:val="002341F9"/>
    <w:rsid w:val="00234B0B"/>
    <w:rsid w:val="0023534C"/>
    <w:rsid w:val="002356AD"/>
    <w:rsid w:val="00235AD5"/>
    <w:rsid w:val="00235F75"/>
    <w:rsid w:val="00236026"/>
    <w:rsid w:val="002360B2"/>
    <w:rsid w:val="00236CE4"/>
    <w:rsid w:val="00237863"/>
    <w:rsid w:val="00237F63"/>
    <w:rsid w:val="00240473"/>
    <w:rsid w:val="00240EB0"/>
    <w:rsid w:val="00241151"/>
    <w:rsid w:val="00241B80"/>
    <w:rsid w:val="00242279"/>
    <w:rsid w:val="00242A89"/>
    <w:rsid w:val="00243D47"/>
    <w:rsid w:val="002444A7"/>
    <w:rsid w:val="0024547D"/>
    <w:rsid w:val="00245CEE"/>
    <w:rsid w:val="00245E0C"/>
    <w:rsid w:val="00245E26"/>
    <w:rsid w:val="00245F1E"/>
    <w:rsid w:val="00247405"/>
    <w:rsid w:val="0024760F"/>
    <w:rsid w:val="0025059C"/>
    <w:rsid w:val="0025126E"/>
    <w:rsid w:val="00251BAD"/>
    <w:rsid w:val="00251E06"/>
    <w:rsid w:val="0025288F"/>
    <w:rsid w:val="002529BE"/>
    <w:rsid w:val="00253312"/>
    <w:rsid w:val="002533E4"/>
    <w:rsid w:val="00254380"/>
    <w:rsid w:val="00254C8C"/>
    <w:rsid w:val="0025508E"/>
    <w:rsid w:val="002551AA"/>
    <w:rsid w:val="0025564D"/>
    <w:rsid w:val="002559D4"/>
    <w:rsid w:val="00255B6F"/>
    <w:rsid w:val="0025602A"/>
    <w:rsid w:val="00256E84"/>
    <w:rsid w:val="00257170"/>
    <w:rsid w:val="00257ABB"/>
    <w:rsid w:val="00257CB3"/>
    <w:rsid w:val="00257FE5"/>
    <w:rsid w:val="00260286"/>
    <w:rsid w:val="00260546"/>
    <w:rsid w:val="00260E93"/>
    <w:rsid w:val="0026164A"/>
    <w:rsid w:val="00262BAF"/>
    <w:rsid w:val="00262D60"/>
    <w:rsid w:val="00264444"/>
    <w:rsid w:val="002645D2"/>
    <w:rsid w:val="00264CAD"/>
    <w:rsid w:val="002654DD"/>
    <w:rsid w:val="00265CDD"/>
    <w:rsid w:val="00266747"/>
    <w:rsid w:val="00266830"/>
    <w:rsid w:val="00266D65"/>
    <w:rsid w:val="00266F10"/>
    <w:rsid w:val="00267146"/>
    <w:rsid w:val="00267235"/>
    <w:rsid w:val="00267F96"/>
    <w:rsid w:val="00267FBD"/>
    <w:rsid w:val="0027039F"/>
    <w:rsid w:val="002708E6"/>
    <w:rsid w:val="00271ABA"/>
    <w:rsid w:val="00271F27"/>
    <w:rsid w:val="00272196"/>
    <w:rsid w:val="002738FF"/>
    <w:rsid w:val="0027463E"/>
    <w:rsid w:val="0027498D"/>
    <w:rsid w:val="0027560C"/>
    <w:rsid w:val="00275FB2"/>
    <w:rsid w:val="00276256"/>
    <w:rsid w:val="002764BF"/>
    <w:rsid w:val="00276B97"/>
    <w:rsid w:val="00276DD9"/>
    <w:rsid w:val="00277C7A"/>
    <w:rsid w:val="00280465"/>
    <w:rsid w:val="00280FD1"/>
    <w:rsid w:val="00281EF3"/>
    <w:rsid w:val="002820E1"/>
    <w:rsid w:val="0028219D"/>
    <w:rsid w:val="002831C4"/>
    <w:rsid w:val="00283409"/>
    <w:rsid w:val="002838A5"/>
    <w:rsid w:val="00285249"/>
    <w:rsid w:val="00285558"/>
    <w:rsid w:val="00285A82"/>
    <w:rsid w:val="0028671B"/>
    <w:rsid w:val="00286EE1"/>
    <w:rsid w:val="00287663"/>
    <w:rsid w:val="00290780"/>
    <w:rsid w:val="00290A8C"/>
    <w:rsid w:val="002917F0"/>
    <w:rsid w:val="00291D80"/>
    <w:rsid w:val="00291D9D"/>
    <w:rsid w:val="00292CCC"/>
    <w:rsid w:val="00293235"/>
    <w:rsid w:val="00293C35"/>
    <w:rsid w:val="00293F6B"/>
    <w:rsid w:val="00294026"/>
    <w:rsid w:val="00294063"/>
    <w:rsid w:val="00294FFD"/>
    <w:rsid w:val="0029502A"/>
    <w:rsid w:val="00295DAE"/>
    <w:rsid w:val="00295F70"/>
    <w:rsid w:val="00296605"/>
    <w:rsid w:val="00296CD4"/>
    <w:rsid w:val="002976E3"/>
    <w:rsid w:val="00297D68"/>
    <w:rsid w:val="00297E86"/>
    <w:rsid w:val="002A1734"/>
    <w:rsid w:val="002A1D0F"/>
    <w:rsid w:val="002A1E09"/>
    <w:rsid w:val="002A2052"/>
    <w:rsid w:val="002A327D"/>
    <w:rsid w:val="002A357A"/>
    <w:rsid w:val="002A3C9B"/>
    <w:rsid w:val="002A5693"/>
    <w:rsid w:val="002A5B29"/>
    <w:rsid w:val="002A6424"/>
    <w:rsid w:val="002A6F0F"/>
    <w:rsid w:val="002A7CAA"/>
    <w:rsid w:val="002A7D66"/>
    <w:rsid w:val="002B040C"/>
    <w:rsid w:val="002B08EC"/>
    <w:rsid w:val="002B0A1C"/>
    <w:rsid w:val="002B0F4D"/>
    <w:rsid w:val="002B0F9A"/>
    <w:rsid w:val="002B1233"/>
    <w:rsid w:val="002B136E"/>
    <w:rsid w:val="002B144A"/>
    <w:rsid w:val="002B1743"/>
    <w:rsid w:val="002B1A00"/>
    <w:rsid w:val="002B1E22"/>
    <w:rsid w:val="002B2903"/>
    <w:rsid w:val="002B2DA0"/>
    <w:rsid w:val="002B3788"/>
    <w:rsid w:val="002B38E7"/>
    <w:rsid w:val="002B4394"/>
    <w:rsid w:val="002B4ADF"/>
    <w:rsid w:val="002B50DC"/>
    <w:rsid w:val="002B556C"/>
    <w:rsid w:val="002B5732"/>
    <w:rsid w:val="002B5914"/>
    <w:rsid w:val="002B5A15"/>
    <w:rsid w:val="002B5BCB"/>
    <w:rsid w:val="002B5FDB"/>
    <w:rsid w:val="002B5FE3"/>
    <w:rsid w:val="002B66CA"/>
    <w:rsid w:val="002B6CC6"/>
    <w:rsid w:val="002B76E6"/>
    <w:rsid w:val="002B76F3"/>
    <w:rsid w:val="002B790A"/>
    <w:rsid w:val="002B7A30"/>
    <w:rsid w:val="002C030E"/>
    <w:rsid w:val="002C08F7"/>
    <w:rsid w:val="002C0DDA"/>
    <w:rsid w:val="002C19A8"/>
    <w:rsid w:val="002C1CFD"/>
    <w:rsid w:val="002C1E2B"/>
    <w:rsid w:val="002C1FB9"/>
    <w:rsid w:val="002C28B0"/>
    <w:rsid w:val="002C2C3F"/>
    <w:rsid w:val="002C2DAC"/>
    <w:rsid w:val="002C2DFB"/>
    <w:rsid w:val="002C3D9F"/>
    <w:rsid w:val="002C4665"/>
    <w:rsid w:val="002C4A35"/>
    <w:rsid w:val="002C54F9"/>
    <w:rsid w:val="002C5AB8"/>
    <w:rsid w:val="002C676C"/>
    <w:rsid w:val="002C720F"/>
    <w:rsid w:val="002C7AF7"/>
    <w:rsid w:val="002D0A05"/>
    <w:rsid w:val="002D11CC"/>
    <w:rsid w:val="002D1579"/>
    <w:rsid w:val="002D19EF"/>
    <w:rsid w:val="002D361A"/>
    <w:rsid w:val="002D3629"/>
    <w:rsid w:val="002D3E2B"/>
    <w:rsid w:val="002D4D2D"/>
    <w:rsid w:val="002D592A"/>
    <w:rsid w:val="002D5D9A"/>
    <w:rsid w:val="002D60A1"/>
    <w:rsid w:val="002D6326"/>
    <w:rsid w:val="002D6FB3"/>
    <w:rsid w:val="002D7803"/>
    <w:rsid w:val="002D7A58"/>
    <w:rsid w:val="002D7B7F"/>
    <w:rsid w:val="002E0345"/>
    <w:rsid w:val="002E03C6"/>
    <w:rsid w:val="002E1321"/>
    <w:rsid w:val="002E1489"/>
    <w:rsid w:val="002E1630"/>
    <w:rsid w:val="002E1D23"/>
    <w:rsid w:val="002E1F35"/>
    <w:rsid w:val="002E223D"/>
    <w:rsid w:val="002E2828"/>
    <w:rsid w:val="002E3C6B"/>
    <w:rsid w:val="002E42FE"/>
    <w:rsid w:val="002E4D43"/>
    <w:rsid w:val="002E5057"/>
    <w:rsid w:val="002E5226"/>
    <w:rsid w:val="002E57E2"/>
    <w:rsid w:val="002E613E"/>
    <w:rsid w:val="002E68C6"/>
    <w:rsid w:val="002E6E05"/>
    <w:rsid w:val="002E746E"/>
    <w:rsid w:val="002E7C17"/>
    <w:rsid w:val="002F0227"/>
    <w:rsid w:val="002F0EBB"/>
    <w:rsid w:val="002F1B6E"/>
    <w:rsid w:val="002F220E"/>
    <w:rsid w:val="002F2B52"/>
    <w:rsid w:val="002F51E4"/>
    <w:rsid w:val="002F5418"/>
    <w:rsid w:val="002F5A4E"/>
    <w:rsid w:val="002F6CC5"/>
    <w:rsid w:val="002F7798"/>
    <w:rsid w:val="00300FEC"/>
    <w:rsid w:val="00301856"/>
    <w:rsid w:val="00301AD8"/>
    <w:rsid w:val="003024FB"/>
    <w:rsid w:val="00304E05"/>
    <w:rsid w:val="00304FC8"/>
    <w:rsid w:val="0030537F"/>
    <w:rsid w:val="00305703"/>
    <w:rsid w:val="003064BE"/>
    <w:rsid w:val="00306ACF"/>
    <w:rsid w:val="0031004B"/>
    <w:rsid w:val="003111CC"/>
    <w:rsid w:val="003113D3"/>
    <w:rsid w:val="00311F2D"/>
    <w:rsid w:val="00312100"/>
    <w:rsid w:val="00312767"/>
    <w:rsid w:val="00312BC0"/>
    <w:rsid w:val="00314C3A"/>
    <w:rsid w:val="00314F2F"/>
    <w:rsid w:val="0031516B"/>
    <w:rsid w:val="00315286"/>
    <w:rsid w:val="00315A3C"/>
    <w:rsid w:val="00315FD9"/>
    <w:rsid w:val="0031610F"/>
    <w:rsid w:val="0031619B"/>
    <w:rsid w:val="003169B0"/>
    <w:rsid w:val="00316BD2"/>
    <w:rsid w:val="00316CB1"/>
    <w:rsid w:val="00316CD2"/>
    <w:rsid w:val="003179BA"/>
    <w:rsid w:val="00317CEF"/>
    <w:rsid w:val="0032008E"/>
    <w:rsid w:val="003202A7"/>
    <w:rsid w:val="003203C8"/>
    <w:rsid w:val="00322C6C"/>
    <w:rsid w:val="00323100"/>
    <w:rsid w:val="00323946"/>
    <w:rsid w:val="0032452A"/>
    <w:rsid w:val="00324959"/>
    <w:rsid w:val="00324AC3"/>
    <w:rsid w:val="00324F80"/>
    <w:rsid w:val="00325538"/>
    <w:rsid w:val="0032645B"/>
    <w:rsid w:val="0032650A"/>
    <w:rsid w:val="0032741B"/>
    <w:rsid w:val="0032784B"/>
    <w:rsid w:val="00327915"/>
    <w:rsid w:val="00327A51"/>
    <w:rsid w:val="0033048A"/>
    <w:rsid w:val="00330991"/>
    <w:rsid w:val="003309E4"/>
    <w:rsid w:val="00330B7B"/>
    <w:rsid w:val="00330EF3"/>
    <w:rsid w:val="00331723"/>
    <w:rsid w:val="00331D34"/>
    <w:rsid w:val="00332928"/>
    <w:rsid w:val="00332967"/>
    <w:rsid w:val="0033401D"/>
    <w:rsid w:val="00334079"/>
    <w:rsid w:val="003343E1"/>
    <w:rsid w:val="00334640"/>
    <w:rsid w:val="00335538"/>
    <w:rsid w:val="00335BB3"/>
    <w:rsid w:val="00335D85"/>
    <w:rsid w:val="00335F6B"/>
    <w:rsid w:val="0033618C"/>
    <w:rsid w:val="00336680"/>
    <w:rsid w:val="00336CB3"/>
    <w:rsid w:val="00337232"/>
    <w:rsid w:val="00337B95"/>
    <w:rsid w:val="00340356"/>
    <w:rsid w:val="003404EA"/>
    <w:rsid w:val="00340D1A"/>
    <w:rsid w:val="00341CA1"/>
    <w:rsid w:val="0034278A"/>
    <w:rsid w:val="00342F4F"/>
    <w:rsid w:val="003430FF"/>
    <w:rsid w:val="00343A5C"/>
    <w:rsid w:val="00343E36"/>
    <w:rsid w:val="00343F66"/>
    <w:rsid w:val="003447B1"/>
    <w:rsid w:val="00345C0F"/>
    <w:rsid w:val="00345E5C"/>
    <w:rsid w:val="003462EB"/>
    <w:rsid w:val="00347AE3"/>
    <w:rsid w:val="00347B07"/>
    <w:rsid w:val="00347C58"/>
    <w:rsid w:val="00350216"/>
    <w:rsid w:val="00350520"/>
    <w:rsid w:val="0035161E"/>
    <w:rsid w:val="00351CC3"/>
    <w:rsid w:val="00351E2B"/>
    <w:rsid w:val="00351FAE"/>
    <w:rsid w:val="0035204A"/>
    <w:rsid w:val="003525E9"/>
    <w:rsid w:val="003532E4"/>
    <w:rsid w:val="003539D2"/>
    <w:rsid w:val="00353FD2"/>
    <w:rsid w:val="0035469B"/>
    <w:rsid w:val="00355D6F"/>
    <w:rsid w:val="0035674C"/>
    <w:rsid w:val="003575AD"/>
    <w:rsid w:val="00357603"/>
    <w:rsid w:val="0036012F"/>
    <w:rsid w:val="00360392"/>
    <w:rsid w:val="003604F4"/>
    <w:rsid w:val="00360549"/>
    <w:rsid w:val="00360592"/>
    <w:rsid w:val="00360F4F"/>
    <w:rsid w:val="00361C0D"/>
    <w:rsid w:val="00361DDF"/>
    <w:rsid w:val="00362F8A"/>
    <w:rsid w:val="003635B5"/>
    <w:rsid w:val="003642B1"/>
    <w:rsid w:val="00364C4A"/>
    <w:rsid w:val="00364CAD"/>
    <w:rsid w:val="003662ED"/>
    <w:rsid w:val="00366B77"/>
    <w:rsid w:val="00366B7B"/>
    <w:rsid w:val="00367030"/>
    <w:rsid w:val="00367194"/>
    <w:rsid w:val="003677DF"/>
    <w:rsid w:val="003678EA"/>
    <w:rsid w:val="00367D29"/>
    <w:rsid w:val="00370096"/>
    <w:rsid w:val="00370252"/>
    <w:rsid w:val="00370FEF"/>
    <w:rsid w:val="00371DD7"/>
    <w:rsid w:val="00372133"/>
    <w:rsid w:val="003729A4"/>
    <w:rsid w:val="00372BA4"/>
    <w:rsid w:val="003733AD"/>
    <w:rsid w:val="00373906"/>
    <w:rsid w:val="0037392D"/>
    <w:rsid w:val="00374CA8"/>
    <w:rsid w:val="00375657"/>
    <w:rsid w:val="00375BE9"/>
    <w:rsid w:val="0037625C"/>
    <w:rsid w:val="00376691"/>
    <w:rsid w:val="00376875"/>
    <w:rsid w:val="00376CFA"/>
    <w:rsid w:val="00376D26"/>
    <w:rsid w:val="00377545"/>
    <w:rsid w:val="00377D31"/>
    <w:rsid w:val="00380D17"/>
    <w:rsid w:val="00381F3C"/>
    <w:rsid w:val="00382292"/>
    <w:rsid w:val="003838B3"/>
    <w:rsid w:val="003838B8"/>
    <w:rsid w:val="00384B1C"/>
    <w:rsid w:val="003857AF"/>
    <w:rsid w:val="00385F26"/>
    <w:rsid w:val="0038603B"/>
    <w:rsid w:val="00386386"/>
    <w:rsid w:val="003864D2"/>
    <w:rsid w:val="00387515"/>
    <w:rsid w:val="00387CCC"/>
    <w:rsid w:val="00387EA9"/>
    <w:rsid w:val="00387F6A"/>
    <w:rsid w:val="00390145"/>
    <w:rsid w:val="00390156"/>
    <w:rsid w:val="00390211"/>
    <w:rsid w:val="003906D7"/>
    <w:rsid w:val="00390C98"/>
    <w:rsid w:val="00392601"/>
    <w:rsid w:val="00392D66"/>
    <w:rsid w:val="00393A42"/>
    <w:rsid w:val="00394330"/>
    <w:rsid w:val="00394C04"/>
    <w:rsid w:val="00394F29"/>
    <w:rsid w:val="00394F37"/>
    <w:rsid w:val="00396256"/>
    <w:rsid w:val="003962B4"/>
    <w:rsid w:val="00397F09"/>
    <w:rsid w:val="003A0652"/>
    <w:rsid w:val="003A0CAC"/>
    <w:rsid w:val="003A1278"/>
    <w:rsid w:val="003A1B45"/>
    <w:rsid w:val="003A2586"/>
    <w:rsid w:val="003A2C80"/>
    <w:rsid w:val="003A2CC7"/>
    <w:rsid w:val="003A4031"/>
    <w:rsid w:val="003A49C3"/>
    <w:rsid w:val="003A56C8"/>
    <w:rsid w:val="003A5761"/>
    <w:rsid w:val="003A6F36"/>
    <w:rsid w:val="003B036F"/>
    <w:rsid w:val="003B041C"/>
    <w:rsid w:val="003B0BD1"/>
    <w:rsid w:val="003B1299"/>
    <w:rsid w:val="003B34F7"/>
    <w:rsid w:val="003B4365"/>
    <w:rsid w:val="003B4725"/>
    <w:rsid w:val="003B56BF"/>
    <w:rsid w:val="003B5906"/>
    <w:rsid w:val="003B5C05"/>
    <w:rsid w:val="003B6AB3"/>
    <w:rsid w:val="003B758C"/>
    <w:rsid w:val="003B76C3"/>
    <w:rsid w:val="003B7F62"/>
    <w:rsid w:val="003C001C"/>
    <w:rsid w:val="003C0199"/>
    <w:rsid w:val="003C0346"/>
    <w:rsid w:val="003C0578"/>
    <w:rsid w:val="003C0838"/>
    <w:rsid w:val="003C0C6E"/>
    <w:rsid w:val="003C1220"/>
    <w:rsid w:val="003C1C85"/>
    <w:rsid w:val="003C2154"/>
    <w:rsid w:val="003C24BB"/>
    <w:rsid w:val="003C33B2"/>
    <w:rsid w:val="003C34E0"/>
    <w:rsid w:val="003C35C7"/>
    <w:rsid w:val="003C3767"/>
    <w:rsid w:val="003C3AD9"/>
    <w:rsid w:val="003C49A9"/>
    <w:rsid w:val="003C4AAE"/>
    <w:rsid w:val="003C5F37"/>
    <w:rsid w:val="003C60FF"/>
    <w:rsid w:val="003C665D"/>
    <w:rsid w:val="003C69CA"/>
    <w:rsid w:val="003C70FE"/>
    <w:rsid w:val="003C725E"/>
    <w:rsid w:val="003C7395"/>
    <w:rsid w:val="003C7B27"/>
    <w:rsid w:val="003C7D93"/>
    <w:rsid w:val="003D015F"/>
    <w:rsid w:val="003D07EA"/>
    <w:rsid w:val="003D0BB3"/>
    <w:rsid w:val="003D0F53"/>
    <w:rsid w:val="003D129B"/>
    <w:rsid w:val="003D146D"/>
    <w:rsid w:val="003D1C84"/>
    <w:rsid w:val="003D270C"/>
    <w:rsid w:val="003D2982"/>
    <w:rsid w:val="003D436A"/>
    <w:rsid w:val="003D484E"/>
    <w:rsid w:val="003D52B5"/>
    <w:rsid w:val="003D65A1"/>
    <w:rsid w:val="003D6BE6"/>
    <w:rsid w:val="003D727C"/>
    <w:rsid w:val="003D7FC3"/>
    <w:rsid w:val="003E0501"/>
    <w:rsid w:val="003E0ACF"/>
    <w:rsid w:val="003E0ADF"/>
    <w:rsid w:val="003E0EF4"/>
    <w:rsid w:val="003E1069"/>
    <w:rsid w:val="003E1E6D"/>
    <w:rsid w:val="003E2B4D"/>
    <w:rsid w:val="003E33B5"/>
    <w:rsid w:val="003E3669"/>
    <w:rsid w:val="003E4FD9"/>
    <w:rsid w:val="003E59DA"/>
    <w:rsid w:val="003E66C9"/>
    <w:rsid w:val="003E6999"/>
    <w:rsid w:val="003E765D"/>
    <w:rsid w:val="003E7807"/>
    <w:rsid w:val="003E7A03"/>
    <w:rsid w:val="003F1474"/>
    <w:rsid w:val="003F200D"/>
    <w:rsid w:val="003F2213"/>
    <w:rsid w:val="003F250E"/>
    <w:rsid w:val="003F28C6"/>
    <w:rsid w:val="003F2909"/>
    <w:rsid w:val="003F31EB"/>
    <w:rsid w:val="003F3E59"/>
    <w:rsid w:val="003F46B7"/>
    <w:rsid w:val="003F5E03"/>
    <w:rsid w:val="003F62AF"/>
    <w:rsid w:val="003F717A"/>
    <w:rsid w:val="00400B51"/>
    <w:rsid w:val="0040157A"/>
    <w:rsid w:val="00401740"/>
    <w:rsid w:val="00401C37"/>
    <w:rsid w:val="00401F14"/>
    <w:rsid w:val="00403020"/>
    <w:rsid w:val="0040459A"/>
    <w:rsid w:val="00404C77"/>
    <w:rsid w:val="0040557A"/>
    <w:rsid w:val="004059A4"/>
    <w:rsid w:val="00405A36"/>
    <w:rsid w:val="00406577"/>
    <w:rsid w:val="00407808"/>
    <w:rsid w:val="0041184D"/>
    <w:rsid w:val="00411FC3"/>
    <w:rsid w:val="004128F1"/>
    <w:rsid w:val="0041326F"/>
    <w:rsid w:val="00413751"/>
    <w:rsid w:val="004139AF"/>
    <w:rsid w:val="00413CB4"/>
    <w:rsid w:val="00413CDC"/>
    <w:rsid w:val="004145D3"/>
    <w:rsid w:val="00414734"/>
    <w:rsid w:val="0041474A"/>
    <w:rsid w:val="00414762"/>
    <w:rsid w:val="00416631"/>
    <w:rsid w:val="0041690A"/>
    <w:rsid w:val="00416A7C"/>
    <w:rsid w:val="00417D80"/>
    <w:rsid w:val="00417E0B"/>
    <w:rsid w:val="004218FA"/>
    <w:rsid w:val="004234C8"/>
    <w:rsid w:val="0042365D"/>
    <w:rsid w:val="00423E99"/>
    <w:rsid w:val="00424595"/>
    <w:rsid w:val="00424661"/>
    <w:rsid w:val="00424FEA"/>
    <w:rsid w:val="004250CF"/>
    <w:rsid w:val="004251CC"/>
    <w:rsid w:val="00426127"/>
    <w:rsid w:val="00430EFA"/>
    <w:rsid w:val="00430F93"/>
    <w:rsid w:val="00431050"/>
    <w:rsid w:val="00431E30"/>
    <w:rsid w:val="00431FE9"/>
    <w:rsid w:val="00432656"/>
    <w:rsid w:val="00432A68"/>
    <w:rsid w:val="00433118"/>
    <w:rsid w:val="00433508"/>
    <w:rsid w:val="00433865"/>
    <w:rsid w:val="00433971"/>
    <w:rsid w:val="00434034"/>
    <w:rsid w:val="004343C8"/>
    <w:rsid w:val="00434986"/>
    <w:rsid w:val="004359AD"/>
    <w:rsid w:val="00435B11"/>
    <w:rsid w:val="004361BB"/>
    <w:rsid w:val="004365DF"/>
    <w:rsid w:val="0043736B"/>
    <w:rsid w:val="00437CB1"/>
    <w:rsid w:val="00437CCC"/>
    <w:rsid w:val="00437D1D"/>
    <w:rsid w:val="00440A30"/>
    <w:rsid w:val="00440B3D"/>
    <w:rsid w:val="00440EFB"/>
    <w:rsid w:val="00441310"/>
    <w:rsid w:val="00441A3B"/>
    <w:rsid w:val="00441F6C"/>
    <w:rsid w:val="0044213D"/>
    <w:rsid w:val="00442791"/>
    <w:rsid w:val="00443293"/>
    <w:rsid w:val="00443C3F"/>
    <w:rsid w:val="0044468B"/>
    <w:rsid w:val="00444AC6"/>
    <w:rsid w:val="00444B08"/>
    <w:rsid w:val="0044509C"/>
    <w:rsid w:val="004457A4"/>
    <w:rsid w:val="00445813"/>
    <w:rsid w:val="00445BC7"/>
    <w:rsid w:val="004463B1"/>
    <w:rsid w:val="00446A3E"/>
    <w:rsid w:val="004471D7"/>
    <w:rsid w:val="0044774A"/>
    <w:rsid w:val="0044792F"/>
    <w:rsid w:val="00447A58"/>
    <w:rsid w:val="00447BA6"/>
    <w:rsid w:val="00447C8A"/>
    <w:rsid w:val="0045137B"/>
    <w:rsid w:val="00451A28"/>
    <w:rsid w:val="004523A3"/>
    <w:rsid w:val="00452BBE"/>
    <w:rsid w:val="004539C8"/>
    <w:rsid w:val="00453B30"/>
    <w:rsid w:val="0045402F"/>
    <w:rsid w:val="0045451C"/>
    <w:rsid w:val="004554A8"/>
    <w:rsid w:val="00455509"/>
    <w:rsid w:val="004555B8"/>
    <w:rsid w:val="00455725"/>
    <w:rsid w:val="004558BE"/>
    <w:rsid w:val="0045610D"/>
    <w:rsid w:val="00456C46"/>
    <w:rsid w:val="0045706E"/>
    <w:rsid w:val="004573A6"/>
    <w:rsid w:val="004577F4"/>
    <w:rsid w:val="004602A3"/>
    <w:rsid w:val="00460F20"/>
    <w:rsid w:val="0046173C"/>
    <w:rsid w:val="00461EA9"/>
    <w:rsid w:val="00462EAA"/>
    <w:rsid w:val="00462F7C"/>
    <w:rsid w:val="004633CB"/>
    <w:rsid w:val="00463DEF"/>
    <w:rsid w:val="00464703"/>
    <w:rsid w:val="00464F52"/>
    <w:rsid w:val="00465576"/>
    <w:rsid w:val="0046590E"/>
    <w:rsid w:val="00465AA1"/>
    <w:rsid w:val="00466667"/>
    <w:rsid w:val="00467803"/>
    <w:rsid w:val="00467A6E"/>
    <w:rsid w:val="00467B18"/>
    <w:rsid w:val="00470350"/>
    <w:rsid w:val="00470567"/>
    <w:rsid w:val="004708AA"/>
    <w:rsid w:val="004715E7"/>
    <w:rsid w:val="00471B95"/>
    <w:rsid w:val="00472FD3"/>
    <w:rsid w:val="004731CC"/>
    <w:rsid w:val="00473FCD"/>
    <w:rsid w:val="0047447C"/>
    <w:rsid w:val="0047457A"/>
    <w:rsid w:val="00474753"/>
    <w:rsid w:val="00475A76"/>
    <w:rsid w:val="00476018"/>
    <w:rsid w:val="00476308"/>
    <w:rsid w:val="00476417"/>
    <w:rsid w:val="00476489"/>
    <w:rsid w:val="00476BFE"/>
    <w:rsid w:val="004772BF"/>
    <w:rsid w:val="00477394"/>
    <w:rsid w:val="004801FD"/>
    <w:rsid w:val="004803CB"/>
    <w:rsid w:val="00480FD5"/>
    <w:rsid w:val="004810A9"/>
    <w:rsid w:val="00481127"/>
    <w:rsid w:val="0048153D"/>
    <w:rsid w:val="004820C7"/>
    <w:rsid w:val="004822DA"/>
    <w:rsid w:val="00483640"/>
    <w:rsid w:val="00483F38"/>
    <w:rsid w:val="00484C63"/>
    <w:rsid w:val="00485554"/>
    <w:rsid w:val="00485BF0"/>
    <w:rsid w:val="00485C78"/>
    <w:rsid w:val="0048608F"/>
    <w:rsid w:val="00486211"/>
    <w:rsid w:val="004863A4"/>
    <w:rsid w:val="00486475"/>
    <w:rsid w:val="00486A68"/>
    <w:rsid w:val="00486CAB"/>
    <w:rsid w:val="00487A10"/>
    <w:rsid w:val="00487AD5"/>
    <w:rsid w:val="0049004B"/>
    <w:rsid w:val="004902C0"/>
    <w:rsid w:val="004906A3"/>
    <w:rsid w:val="00490F06"/>
    <w:rsid w:val="00490F54"/>
    <w:rsid w:val="004914B7"/>
    <w:rsid w:val="00491AAD"/>
    <w:rsid w:val="00492822"/>
    <w:rsid w:val="00493272"/>
    <w:rsid w:val="004936E8"/>
    <w:rsid w:val="004937D9"/>
    <w:rsid w:val="004955B8"/>
    <w:rsid w:val="00495647"/>
    <w:rsid w:val="0049576F"/>
    <w:rsid w:val="00495E2F"/>
    <w:rsid w:val="00497431"/>
    <w:rsid w:val="00497AE6"/>
    <w:rsid w:val="004A0339"/>
    <w:rsid w:val="004A08A5"/>
    <w:rsid w:val="004A0BF8"/>
    <w:rsid w:val="004A1695"/>
    <w:rsid w:val="004A2E4A"/>
    <w:rsid w:val="004A37F5"/>
    <w:rsid w:val="004A3E53"/>
    <w:rsid w:val="004A453E"/>
    <w:rsid w:val="004A5763"/>
    <w:rsid w:val="004A59FF"/>
    <w:rsid w:val="004A5EE8"/>
    <w:rsid w:val="004A6BD5"/>
    <w:rsid w:val="004B1553"/>
    <w:rsid w:val="004B1558"/>
    <w:rsid w:val="004B1BA2"/>
    <w:rsid w:val="004B2544"/>
    <w:rsid w:val="004B268D"/>
    <w:rsid w:val="004B2BCA"/>
    <w:rsid w:val="004B2C0B"/>
    <w:rsid w:val="004B2CBD"/>
    <w:rsid w:val="004B2FC1"/>
    <w:rsid w:val="004B305A"/>
    <w:rsid w:val="004B32B2"/>
    <w:rsid w:val="004B3D02"/>
    <w:rsid w:val="004B43A4"/>
    <w:rsid w:val="004B5236"/>
    <w:rsid w:val="004B57BF"/>
    <w:rsid w:val="004B69AC"/>
    <w:rsid w:val="004B6BEF"/>
    <w:rsid w:val="004B7142"/>
    <w:rsid w:val="004B714B"/>
    <w:rsid w:val="004B7658"/>
    <w:rsid w:val="004B7843"/>
    <w:rsid w:val="004B7DD2"/>
    <w:rsid w:val="004C01AC"/>
    <w:rsid w:val="004C06F4"/>
    <w:rsid w:val="004C0D42"/>
    <w:rsid w:val="004C1101"/>
    <w:rsid w:val="004C15DF"/>
    <w:rsid w:val="004C1791"/>
    <w:rsid w:val="004C27C5"/>
    <w:rsid w:val="004C2823"/>
    <w:rsid w:val="004C29D0"/>
    <w:rsid w:val="004C3DA9"/>
    <w:rsid w:val="004C57A7"/>
    <w:rsid w:val="004D018E"/>
    <w:rsid w:val="004D01C9"/>
    <w:rsid w:val="004D0526"/>
    <w:rsid w:val="004D0944"/>
    <w:rsid w:val="004D0C82"/>
    <w:rsid w:val="004D0E66"/>
    <w:rsid w:val="004D1517"/>
    <w:rsid w:val="004D15C5"/>
    <w:rsid w:val="004D2D6F"/>
    <w:rsid w:val="004D418B"/>
    <w:rsid w:val="004D4239"/>
    <w:rsid w:val="004D59E6"/>
    <w:rsid w:val="004D602E"/>
    <w:rsid w:val="004D61C7"/>
    <w:rsid w:val="004D6E3D"/>
    <w:rsid w:val="004E0078"/>
    <w:rsid w:val="004E0900"/>
    <w:rsid w:val="004E0C08"/>
    <w:rsid w:val="004E138E"/>
    <w:rsid w:val="004E1D22"/>
    <w:rsid w:val="004E258B"/>
    <w:rsid w:val="004E2BBD"/>
    <w:rsid w:val="004E3150"/>
    <w:rsid w:val="004E4273"/>
    <w:rsid w:val="004E4BBA"/>
    <w:rsid w:val="004E4F9E"/>
    <w:rsid w:val="004E550F"/>
    <w:rsid w:val="004E5B09"/>
    <w:rsid w:val="004E659F"/>
    <w:rsid w:val="004E65B5"/>
    <w:rsid w:val="004E70D9"/>
    <w:rsid w:val="004E72AD"/>
    <w:rsid w:val="004E7CE8"/>
    <w:rsid w:val="004E7E41"/>
    <w:rsid w:val="004F03BA"/>
    <w:rsid w:val="004F070E"/>
    <w:rsid w:val="004F0E68"/>
    <w:rsid w:val="004F1AFC"/>
    <w:rsid w:val="004F2243"/>
    <w:rsid w:val="004F263A"/>
    <w:rsid w:val="004F279A"/>
    <w:rsid w:val="004F2B3A"/>
    <w:rsid w:val="004F4F64"/>
    <w:rsid w:val="004F5147"/>
    <w:rsid w:val="004F5DAD"/>
    <w:rsid w:val="004F5FA0"/>
    <w:rsid w:val="004F5FD0"/>
    <w:rsid w:val="004F61FE"/>
    <w:rsid w:val="004F67BC"/>
    <w:rsid w:val="004F6D5A"/>
    <w:rsid w:val="004F6E02"/>
    <w:rsid w:val="004F7791"/>
    <w:rsid w:val="00500AA5"/>
    <w:rsid w:val="00500D7E"/>
    <w:rsid w:val="00500F0B"/>
    <w:rsid w:val="00500F75"/>
    <w:rsid w:val="00502057"/>
    <w:rsid w:val="0050243E"/>
    <w:rsid w:val="005026F8"/>
    <w:rsid w:val="005027BB"/>
    <w:rsid w:val="00502A2D"/>
    <w:rsid w:val="005031F1"/>
    <w:rsid w:val="005032B2"/>
    <w:rsid w:val="005035CD"/>
    <w:rsid w:val="00503E10"/>
    <w:rsid w:val="005067E1"/>
    <w:rsid w:val="0050706F"/>
    <w:rsid w:val="005076B0"/>
    <w:rsid w:val="0051094D"/>
    <w:rsid w:val="00510D6B"/>
    <w:rsid w:val="00510F8B"/>
    <w:rsid w:val="00511B5D"/>
    <w:rsid w:val="00512E46"/>
    <w:rsid w:val="00513503"/>
    <w:rsid w:val="00513ABB"/>
    <w:rsid w:val="00513D04"/>
    <w:rsid w:val="0051400C"/>
    <w:rsid w:val="005148A6"/>
    <w:rsid w:val="00514BE5"/>
    <w:rsid w:val="005164CF"/>
    <w:rsid w:val="0051678E"/>
    <w:rsid w:val="005167A9"/>
    <w:rsid w:val="00517351"/>
    <w:rsid w:val="00517A0D"/>
    <w:rsid w:val="005202E8"/>
    <w:rsid w:val="0052034C"/>
    <w:rsid w:val="0052035F"/>
    <w:rsid w:val="0052092F"/>
    <w:rsid w:val="00520D22"/>
    <w:rsid w:val="0052135E"/>
    <w:rsid w:val="00521411"/>
    <w:rsid w:val="00521F52"/>
    <w:rsid w:val="00522CE8"/>
    <w:rsid w:val="00523710"/>
    <w:rsid w:val="00524589"/>
    <w:rsid w:val="00525C2A"/>
    <w:rsid w:val="005268B6"/>
    <w:rsid w:val="00526D91"/>
    <w:rsid w:val="00526F7E"/>
    <w:rsid w:val="005273A2"/>
    <w:rsid w:val="005279BD"/>
    <w:rsid w:val="005304A8"/>
    <w:rsid w:val="0053053B"/>
    <w:rsid w:val="005306B9"/>
    <w:rsid w:val="00530BB5"/>
    <w:rsid w:val="00530CA5"/>
    <w:rsid w:val="00530FAC"/>
    <w:rsid w:val="00531AA6"/>
    <w:rsid w:val="00532567"/>
    <w:rsid w:val="005326BD"/>
    <w:rsid w:val="00532A83"/>
    <w:rsid w:val="00532B78"/>
    <w:rsid w:val="00532CA0"/>
    <w:rsid w:val="00533AFB"/>
    <w:rsid w:val="00533F64"/>
    <w:rsid w:val="00534239"/>
    <w:rsid w:val="0053426F"/>
    <w:rsid w:val="00534504"/>
    <w:rsid w:val="00534537"/>
    <w:rsid w:val="00534F24"/>
    <w:rsid w:val="00535481"/>
    <w:rsid w:val="00537E5A"/>
    <w:rsid w:val="0054085B"/>
    <w:rsid w:val="0054104A"/>
    <w:rsid w:val="0054256B"/>
    <w:rsid w:val="00543643"/>
    <w:rsid w:val="005437A8"/>
    <w:rsid w:val="00543E62"/>
    <w:rsid w:val="005441E0"/>
    <w:rsid w:val="00544621"/>
    <w:rsid w:val="0054536E"/>
    <w:rsid w:val="005453FC"/>
    <w:rsid w:val="0054543C"/>
    <w:rsid w:val="00545651"/>
    <w:rsid w:val="005458D7"/>
    <w:rsid w:val="005459C6"/>
    <w:rsid w:val="00545F8F"/>
    <w:rsid w:val="00546B55"/>
    <w:rsid w:val="0054747A"/>
    <w:rsid w:val="005474E1"/>
    <w:rsid w:val="005475A5"/>
    <w:rsid w:val="005477F0"/>
    <w:rsid w:val="00550411"/>
    <w:rsid w:val="0055055C"/>
    <w:rsid w:val="005506F8"/>
    <w:rsid w:val="00550F1D"/>
    <w:rsid w:val="00553C98"/>
    <w:rsid w:val="00553D38"/>
    <w:rsid w:val="00554D01"/>
    <w:rsid w:val="00554EEB"/>
    <w:rsid w:val="00554F52"/>
    <w:rsid w:val="0055559C"/>
    <w:rsid w:val="00555B0F"/>
    <w:rsid w:val="005561AA"/>
    <w:rsid w:val="00556486"/>
    <w:rsid w:val="00556A87"/>
    <w:rsid w:val="00557280"/>
    <w:rsid w:val="005573CD"/>
    <w:rsid w:val="005575D1"/>
    <w:rsid w:val="00557726"/>
    <w:rsid w:val="00557C4D"/>
    <w:rsid w:val="00557FEA"/>
    <w:rsid w:val="0056027F"/>
    <w:rsid w:val="0056081B"/>
    <w:rsid w:val="00560AF4"/>
    <w:rsid w:val="00560B31"/>
    <w:rsid w:val="005610BE"/>
    <w:rsid w:val="005612C2"/>
    <w:rsid w:val="00561372"/>
    <w:rsid w:val="00563A8C"/>
    <w:rsid w:val="00563F90"/>
    <w:rsid w:val="00564187"/>
    <w:rsid w:val="00564985"/>
    <w:rsid w:val="00564C99"/>
    <w:rsid w:val="005658D6"/>
    <w:rsid w:val="005662A6"/>
    <w:rsid w:val="005668F2"/>
    <w:rsid w:val="0056710F"/>
    <w:rsid w:val="005673EE"/>
    <w:rsid w:val="00567889"/>
    <w:rsid w:val="00567ED4"/>
    <w:rsid w:val="005701F4"/>
    <w:rsid w:val="0057118E"/>
    <w:rsid w:val="00571C8F"/>
    <w:rsid w:val="00571DDA"/>
    <w:rsid w:val="00573592"/>
    <w:rsid w:val="005738A3"/>
    <w:rsid w:val="00573D59"/>
    <w:rsid w:val="005741FB"/>
    <w:rsid w:val="005745D9"/>
    <w:rsid w:val="00574976"/>
    <w:rsid w:val="00574AD3"/>
    <w:rsid w:val="00574AF6"/>
    <w:rsid w:val="00574DB5"/>
    <w:rsid w:val="0057517B"/>
    <w:rsid w:val="00575360"/>
    <w:rsid w:val="005756EE"/>
    <w:rsid w:val="0057722B"/>
    <w:rsid w:val="00577D1E"/>
    <w:rsid w:val="005813C9"/>
    <w:rsid w:val="00581FB8"/>
    <w:rsid w:val="0058344C"/>
    <w:rsid w:val="00583732"/>
    <w:rsid w:val="00583BF8"/>
    <w:rsid w:val="00583C7F"/>
    <w:rsid w:val="005847B4"/>
    <w:rsid w:val="00585132"/>
    <w:rsid w:val="00585AC5"/>
    <w:rsid w:val="00585AD4"/>
    <w:rsid w:val="00585CEC"/>
    <w:rsid w:val="005863D2"/>
    <w:rsid w:val="0058654B"/>
    <w:rsid w:val="00586E31"/>
    <w:rsid w:val="005900B6"/>
    <w:rsid w:val="005904AF"/>
    <w:rsid w:val="00590C68"/>
    <w:rsid w:val="00590FCC"/>
    <w:rsid w:val="00591117"/>
    <w:rsid w:val="0059162B"/>
    <w:rsid w:val="00592613"/>
    <w:rsid w:val="005927EC"/>
    <w:rsid w:val="00592EC2"/>
    <w:rsid w:val="005932FD"/>
    <w:rsid w:val="0059333E"/>
    <w:rsid w:val="00593695"/>
    <w:rsid w:val="00593822"/>
    <w:rsid w:val="005939D4"/>
    <w:rsid w:val="00593FC2"/>
    <w:rsid w:val="00594488"/>
    <w:rsid w:val="00594E32"/>
    <w:rsid w:val="00595D00"/>
    <w:rsid w:val="005965FD"/>
    <w:rsid w:val="005967E5"/>
    <w:rsid w:val="0059696F"/>
    <w:rsid w:val="005969C7"/>
    <w:rsid w:val="0059731A"/>
    <w:rsid w:val="00597481"/>
    <w:rsid w:val="005A042D"/>
    <w:rsid w:val="005A09C4"/>
    <w:rsid w:val="005A1CF8"/>
    <w:rsid w:val="005A2671"/>
    <w:rsid w:val="005A2C42"/>
    <w:rsid w:val="005A2D87"/>
    <w:rsid w:val="005A379F"/>
    <w:rsid w:val="005A642C"/>
    <w:rsid w:val="005A6722"/>
    <w:rsid w:val="005A737C"/>
    <w:rsid w:val="005A7451"/>
    <w:rsid w:val="005A74A8"/>
    <w:rsid w:val="005A7F98"/>
    <w:rsid w:val="005B052A"/>
    <w:rsid w:val="005B1284"/>
    <w:rsid w:val="005B19CE"/>
    <w:rsid w:val="005B216C"/>
    <w:rsid w:val="005B2DD0"/>
    <w:rsid w:val="005B453A"/>
    <w:rsid w:val="005B4ED4"/>
    <w:rsid w:val="005B50DF"/>
    <w:rsid w:val="005B516C"/>
    <w:rsid w:val="005B525A"/>
    <w:rsid w:val="005B527F"/>
    <w:rsid w:val="005B566E"/>
    <w:rsid w:val="005B56BC"/>
    <w:rsid w:val="005B5D34"/>
    <w:rsid w:val="005B60DC"/>
    <w:rsid w:val="005B6C95"/>
    <w:rsid w:val="005B7B34"/>
    <w:rsid w:val="005C0776"/>
    <w:rsid w:val="005C0BC3"/>
    <w:rsid w:val="005C10F5"/>
    <w:rsid w:val="005C13BF"/>
    <w:rsid w:val="005C17CA"/>
    <w:rsid w:val="005C195E"/>
    <w:rsid w:val="005C1D23"/>
    <w:rsid w:val="005C2129"/>
    <w:rsid w:val="005C2369"/>
    <w:rsid w:val="005C2513"/>
    <w:rsid w:val="005C30D0"/>
    <w:rsid w:val="005C33F2"/>
    <w:rsid w:val="005C3F8E"/>
    <w:rsid w:val="005C43B3"/>
    <w:rsid w:val="005C4A3E"/>
    <w:rsid w:val="005C535E"/>
    <w:rsid w:val="005C54DF"/>
    <w:rsid w:val="005C711F"/>
    <w:rsid w:val="005C7F62"/>
    <w:rsid w:val="005C7FA1"/>
    <w:rsid w:val="005D0FDE"/>
    <w:rsid w:val="005D1A95"/>
    <w:rsid w:val="005D2040"/>
    <w:rsid w:val="005D2216"/>
    <w:rsid w:val="005D2E1C"/>
    <w:rsid w:val="005D3107"/>
    <w:rsid w:val="005D3ECC"/>
    <w:rsid w:val="005D41CE"/>
    <w:rsid w:val="005D4783"/>
    <w:rsid w:val="005D4C0B"/>
    <w:rsid w:val="005D50C1"/>
    <w:rsid w:val="005D5C61"/>
    <w:rsid w:val="005D5D88"/>
    <w:rsid w:val="005D5E6D"/>
    <w:rsid w:val="005D6135"/>
    <w:rsid w:val="005D6447"/>
    <w:rsid w:val="005D651D"/>
    <w:rsid w:val="005E0610"/>
    <w:rsid w:val="005E1076"/>
    <w:rsid w:val="005E10C3"/>
    <w:rsid w:val="005E1BC4"/>
    <w:rsid w:val="005E1C9C"/>
    <w:rsid w:val="005E1D75"/>
    <w:rsid w:val="005E2591"/>
    <w:rsid w:val="005E27A9"/>
    <w:rsid w:val="005E316D"/>
    <w:rsid w:val="005E347E"/>
    <w:rsid w:val="005E3E7E"/>
    <w:rsid w:val="005E46A4"/>
    <w:rsid w:val="005E591B"/>
    <w:rsid w:val="005E5C67"/>
    <w:rsid w:val="005E6EE7"/>
    <w:rsid w:val="005E6FBA"/>
    <w:rsid w:val="005E79CE"/>
    <w:rsid w:val="005E7D82"/>
    <w:rsid w:val="005F0B60"/>
    <w:rsid w:val="005F1552"/>
    <w:rsid w:val="005F15A5"/>
    <w:rsid w:val="005F1FE7"/>
    <w:rsid w:val="005F27D9"/>
    <w:rsid w:val="005F300E"/>
    <w:rsid w:val="005F328C"/>
    <w:rsid w:val="005F3CF4"/>
    <w:rsid w:val="005F417F"/>
    <w:rsid w:val="005F4292"/>
    <w:rsid w:val="005F45E2"/>
    <w:rsid w:val="005F486F"/>
    <w:rsid w:val="005F5870"/>
    <w:rsid w:val="005F5C3A"/>
    <w:rsid w:val="005F5F53"/>
    <w:rsid w:val="005F6149"/>
    <w:rsid w:val="005F67E3"/>
    <w:rsid w:val="005F6D31"/>
    <w:rsid w:val="005F6D74"/>
    <w:rsid w:val="005F6F67"/>
    <w:rsid w:val="005F7796"/>
    <w:rsid w:val="006015FD"/>
    <w:rsid w:val="00602021"/>
    <w:rsid w:val="006023E2"/>
    <w:rsid w:val="0060314C"/>
    <w:rsid w:val="006035F2"/>
    <w:rsid w:val="00603777"/>
    <w:rsid w:val="00603A86"/>
    <w:rsid w:val="00603DFB"/>
    <w:rsid w:val="00603E88"/>
    <w:rsid w:val="00604952"/>
    <w:rsid w:val="00605868"/>
    <w:rsid w:val="0060649B"/>
    <w:rsid w:val="00607D4A"/>
    <w:rsid w:val="00607DE9"/>
    <w:rsid w:val="006102FE"/>
    <w:rsid w:val="00610705"/>
    <w:rsid w:val="0061199B"/>
    <w:rsid w:val="00611A56"/>
    <w:rsid w:val="00611B3D"/>
    <w:rsid w:val="00611D4D"/>
    <w:rsid w:val="00611EAD"/>
    <w:rsid w:val="00612C62"/>
    <w:rsid w:val="00613205"/>
    <w:rsid w:val="006139BB"/>
    <w:rsid w:val="00614270"/>
    <w:rsid w:val="00614483"/>
    <w:rsid w:val="00614BBF"/>
    <w:rsid w:val="00616094"/>
    <w:rsid w:val="006163F2"/>
    <w:rsid w:val="0061646D"/>
    <w:rsid w:val="006169B5"/>
    <w:rsid w:val="00617172"/>
    <w:rsid w:val="006172B1"/>
    <w:rsid w:val="00617A25"/>
    <w:rsid w:val="00620663"/>
    <w:rsid w:val="00620900"/>
    <w:rsid w:val="00620B33"/>
    <w:rsid w:val="00621175"/>
    <w:rsid w:val="006217C5"/>
    <w:rsid w:val="00621F49"/>
    <w:rsid w:val="00622568"/>
    <w:rsid w:val="006227D7"/>
    <w:rsid w:val="0062294D"/>
    <w:rsid w:val="00622A78"/>
    <w:rsid w:val="00623F6F"/>
    <w:rsid w:val="0062419A"/>
    <w:rsid w:val="00624C7B"/>
    <w:rsid w:val="006264A0"/>
    <w:rsid w:val="0062680B"/>
    <w:rsid w:val="006270A4"/>
    <w:rsid w:val="00627E90"/>
    <w:rsid w:val="00627EBA"/>
    <w:rsid w:val="006301DD"/>
    <w:rsid w:val="006308F5"/>
    <w:rsid w:val="00630AF0"/>
    <w:rsid w:val="006319A3"/>
    <w:rsid w:val="00632C2D"/>
    <w:rsid w:val="00632C30"/>
    <w:rsid w:val="00633640"/>
    <w:rsid w:val="006337DF"/>
    <w:rsid w:val="00634AA7"/>
    <w:rsid w:val="006355B2"/>
    <w:rsid w:val="00635861"/>
    <w:rsid w:val="0063611A"/>
    <w:rsid w:val="00636ACE"/>
    <w:rsid w:val="00636D66"/>
    <w:rsid w:val="00640568"/>
    <w:rsid w:val="00640BB9"/>
    <w:rsid w:val="00640C24"/>
    <w:rsid w:val="00640DE4"/>
    <w:rsid w:val="00640F1A"/>
    <w:rsid w:val="00641618"/>
    <w:rsid w:val="00641633"/>
    <w:rsid w:val="00641C8A"/>
    <w:rsid w:val="00641F79"/>
    <w:rsid w:val="00642256"/>
    <w:rsid w:val="0064325F"/>
    <w:rsid w:val="0064343C"/>
    <w:rsid w:val="00643A35"/>
    <w:rsid w:val="00643CA0"/>
    <w:rsid w:val="00644943"/>
    <w:rsid w:val="00644B8B"/>
    <w:rsid w:val="00644E59"/>
    <w:rsid w:val="006450ED"/>
    <w:rsid w:val="0064676D"/>
    <w:rsid w:val="00646D89"/>
    <w:rsid w:val="0064780C"/>
    <w:rsid w:val="00647BA4"/>
    <w:rsid w:val="0065074C"/>
    <w:rsid w:val="0065079E"/>
    <w:rsid w:val="00650AB6"/>
    <w:rsid w:val="00650B18"/>
    <w:rsid w:val="00651046"/>
    <w:rsid w:val="0065151D"/>
    <w:rsid w:val="00651608"/>
    <w:rsid w:val="006521BE"/>
    <w:rsid w:val="0065272D"/>
    <w:rsid w:val="006531E9"/>
    <w:rsid w:val="00653964"/>
    <w:rsid w:val="00653C7A"/>
    <w:rsid w:val="00653D9F"/>
    <w:rsid w:val="00653E52"/>
    <w:rsid w:val="00653EAA"/>
    <w:rsid w:val="00654287"/>
    <w:rsid w:val="00654AA3"/>
    <w:rsid w:val="00654C52"/>
    <w:rsid w:val="00654E34"/>
    <w:rsid w:val="00655092"/>
    <w:rsid w:val="00655CF0"/>
    <w:rsid w:val="00655DE1"/>
    <w:rsid w:val="006572B8"/>
    <w:rsid w:val="00657AD3"/>
    <w:rsid w:val="006604D8"/>
    <w:rsid w:val="0066057A"/>
    <w:rsid w:val="00660D86"/>
    <w:rsid w:val="00661540"/>
    <w:rsid w:val="0066183E"/>
    <w:rsid w:val="00662342"/>
    <w:rsid w:val="00662A04"/>
    <w:rsid w:val="00662AFB"/>
    <w:rsid w:val="006634B6"/>
    <w:rsid w:val="00663A80"/>
    <w:rsid w:val="00665242"/>
    <w:rsid w:val="00665C46"/>
    <w:rsid w:val="00665EAA"/>
    <w:rsid w:val="006666BB"/>
    <w:rsid w:val="0066682E"/>
    <w:rsid w:val="00666FD3"/>
    <w:rsid w:val="0066766E"/>
    <w:rsid w:val="006676AB"/>
    <w:rsid w:val="0066771F"/>
    <w:rsid w:val="00667E00"/>
    <w:rsid w:val="00667F37"/>
    <w:rsid w:val="00670D2D"/>
    <w:rsid w:val="00671854"/>
    <w:rsid w:val="00671FE6"/>
    <w:rsid w:val="006727C5"/>
    <w:rsid w:val="006729F7"/>
    <w:rsid w:val="00672DDA"/>
    <w:rsid w:val="00672E07"/>
    <w:rsid w:val="00673492"/>
    <w:rsid w:val="006737AC"/>
    <w:rsid w:val="00674208"/>
    <w:rsid w:val="006750AD"/>
    <w:rsid w:val="00675B60"/>
    <w:rsid w:val="00675E69"/>
    <w:rsid w:val="006763C2"/>
    <w:rsid w:val="00676D26"/>
    <w:rsid w:val="0067741C"/>
    <w:rsid w:val="006776AA"/>
    <w:rsid w:val="00680F7D"/>
    <w:rsid w:val="006815A0"/>
    <w:rsid w:val="0068165E"/>
    <w:rsid w:val="00681842"/>
    <w:rsid w:val="00681D9E"/>
    <w:rsid w:val="00681F53"/>
    <w:rsid w:val="0068282A"/>
    <w:rsid w:val="00682878"/>
    <w:rsid w:val="00682A5C"/>
    <w:rsid w:val="006834CA"/>
    <w:rsid w:val="00683564"/>
    <w:rsid w:val="00683E56"/>
    <w:rsid w:val="006846A6"/>
    <w:rsid w:val="006848D3"/>
    <w:rsid w:val="00685B8F"/>
    <w:rsid w:val="00685C2B"/>
    <w:rsid w:val="00685D34"/>
    <w:rsid w:val="006862F8"/>
    <w:rsid w:val="00687156"/>
    <w:rsid w:val="00687163"/>
    <w:rsid w:val="00690A5B"/>
    <w:rsid w:val="00690CFA"/>
    <w:rsid w:val="006910EB"/>
    <w:rsid w:val="00692424"/>
    <w:rsid w:val="00692803"/>
    <w:rsid w:val="00692B7D"/>
    <w:rsid w:val="00693740"/>
    <w:rsid w:val="006937EF"/>
    <w:rsid w:val="00693E2A"/>
    <w:rsid w:val="006946C3"/>
    <w:rsid w:val="0069508C"/>
    <w:rsid w:val="006953B1"/>
    <w:rsid w:val="00695536"/>
    <w:rsid w:val="00695AA2"/>
    <w:rsid w:val="00695E00"/>
    <w:rsid w:val="0069653D"/>
    <w:rsid w:val="00696822"/>
    <w:rsid w:val="00696D85"/>
    <w:rsid w:val="006971FB"/>
    <w:rsid w:val="00697B10"/>
    <w:rsid w:val="006A011B"/>
    <w:rsid w:val="006A09B5"/>
    <w:rsid w:val="006A147A"/>
    <w:rsid w:val="006A1686"/>
    <w:rsid w:val="006A1FA4"/>
    <w:rsid w:val="006A2112"/>
    <w:rsid w:val="006A25F8"/>
    <w:rsid w:val="006A4431"/>
    <w:rsid w:val="006A4EB3"/>
    <w:rsid w:val="006A5267"/>
    <w:rsid w:val="006A68DF"/>
    <w:rsid w:val="006A6BA6"/>
    <w:rsid w:val="006A7587"/>
    <w:rsid w:val="006A79CE"/>
    <w:rsid w:val="006A7A68"/>
    <w:rsid w:val="006A7FC2"/>
    <w:rsid w:val="006B0C35"/>
    <w:rsid w:val="006B14CA"/>
    <w:rsid w:val="006B2115"/>
    <w:rsid w:val="006B2550"/>
    <w:rsid w:val="006B288B"/>
    <w:rsid w:val="006B2941"/>
    <w:rsid w:val="006B2B49"/>
    <w:rsid w:val="006B2F55"/>
    <w:rsid w:val="006B325C"/>
    <w:rsid w:val="006B3647"/>
    <w:rsid w:val="006B47EF"/>
    <w:rsid w:val="006B4CF7"/>
    <w:rsid w:val="006B4E8C"/>
    <w:rsid w:val="006B511C"/>
    <w:rsid w:val="006B56B7"/>
    <w:rsid w:val="006B5D1A"/>
    <w:rsid w:val="006B63DB"/>
    <w:rsid w:val="006B702F"/>
    <w:rsid w:val="006B74F8"/>
    <w:rsid w:val="006B769C"/>
    <w:rsid w:val="006B7DDD"/>
    <w:rsid w:val="006C04C7"/>
    <w:rsid w:val="006C0981"/>
    <w:rsid w:val="006C1E70"/>
    <w:rsid w:val="006C330D"/>
    <w:rsid w:val="006C3A76"/>
    <w:rsid w:val="006C4130"/>
    <w:rsid w:val="006C41B3"/>
    <w:rsid w:val="006C42FD"/>
    <w:rsid w:val="006C6B5A"/>
    <w:rsid w:val="006C6C68"/>
    <w:rsid w:val="006C7844"/>
    <w:rsid w:val="006C7884"/>
    <w:rsid w:val="006C7A59"/>
    <w:rsid w:val="006C7D6D"/>
    <w:rsid w:val="006D05C1"/>
    <w:rsid w:val="006D09EA"/>
    <w:rsid w:val="006D1B4B"/>
    <w:rsid w:val="006D2244"/>
    <w:rsid w:val="006D224B"/>
    <w:rsid w:val="006D268B"/>
    <w:rsid w:val="006D2F62"/>
    <w:rsid w:val="006D3BC4"/>
    <w:rsid w:val="006D51C8"/>
    <w:rsid w:val="006D52AC"/>
    <w:rsid w:val="006D6AE6"/>
    <w:rsid w:val="006D71EF"/>
    <w:rsid w:val="006D7570"/>
    <w:rsid w:val="006E03E6"/>
    <w:rsid w:val="006E0741"/>
    <w:rsid w:val="006E092B"/>
    <w:rsid w:val="006E0AEB"/>
    <w:rsid w:val="006E0B3C"/>
    <w:rsid w:val="006E2C16"/>
    <w:rsid w:val="006E37CC"/>
    <w:rsid w:val="006E4DCE"/>
    <w:rsid w:val="006E5492"/>
    <w:rsid w:val="006E58DA"/>
    <w:rsid w:val="006E5ED9"/>
    <w:rsid w:val="006E64F1"/>
    <w:rsid w:val="006E6923"/>
    <w:rsid w:val="006E732B"/>
    <w:rsid w:val="006E7C22"/>
    <w:rsid w:val="006E7C8D"/>
    <w:rsid w:val="006E7CF3"/>
    <w:rsid w:val="006E7F34"/>
    <w:rsid w:val="006F03D0"/>
    <w:rsid w:val="006F0BCE"/>
    <w:rsid w:val="006F14CA"/>
    <w:rsid w:val="006F234F"/>
    <w:rsid w:val="006F26E3"/>
    <w:rsid w:val="006F2CFB"/>
    <w:rsid w:val="006F2E52"/>
    <w:rsid w:val="006F2EF8"/>
    <w:rsid w:val="006F3018"/>
    <w:rsid w:val="006F3874"/>
    <w:rsid w:val="006F3994"/>
    <w:rsid w:val="006F4D33"/>
    <w:rsid w:val="006F4E41"/>
    <w:rsid w:val="006F5246"/>
    <w:rsid w:val="006F5B8B"/>
    <w:rsid w:val="006F6147"/>
    <w:rsid w:val="007000A9"/>
    <w:rsid w:val="00701327"/>
    <w:rsid w:val="00701F3A"/>
    <w:rsid w:val="00702C0B"/>
    <w:rsid w:val="0070350D"/>
    <w:rsid w:val="007040C5"/>
    <w:rsid w:val="0070449C"/>
    <w:rsid w:val="007046C8"/>
    <w:rsid w:val="007048DE"/>
    <w:rsid w:val="00704D7A"/>
    <w:rsid w:val="007053A2"/>
    <w:rsid w:val="00705AAC"/>
    <w:rsid w:val="007067D5"/>
    <w:rsid w:val="00706F63"/>
    <w:rsid w:val="007073B5"/>
    <w:rsid w:val="0070780C"/>
    <w:rsid w:val="0070797E"/>
    <w:rsid w:val="00707B2F"/>
    <w:rsid w:val="00707EB8"/>
    <w:rsid w:val="00707F5A"/>
    <w:rsid w:val="007104D2"/>
    <w:rsid w:val="00710C26"/>
    <w:rsid w:val="007118D3"/>
    <w:rsid w:val="00712141"/>
    <w:rsid w:val="007132D0"/>
    <w:rsid w:val="00713713"/>
    <w:rsid w:val="00713C5C"/>
    <w:rsid w:val="007143C3"/>
    <w:rsid w:val="007144F6"/>
    <w:rsid w:val="00714770"/>
    <w:rsid w:val="0071531E"/>
    <w:rsid w:val="0071559D"/>
    <w:rsid w:val="007162AF"/>
    <w:rsid w:val="007165F2"/>
    <w:rsid w:val="007177C9"/>
    <w:rsid w:val="007206CE"/>
    <w:rsid w:val="0072075E"/>
    <w:rsid w:val="00720F14"/>
    <w:rsid w:val="007214FE"/>
    <w:rsid w:val="00722A8D"/>
    <w:rsid w:val="00723628"/>
    <w:rsid w:val="0072426E"/>
    <w:rsid w:val="00724594"/>
    <w:rsid w:val="007257CF"/>
    <w:rsid w:val="007257EB"/>
    <w:rsid w:val="0072613C"/>
    <w:rsid w:val="007264C6"/>
    <w:rsid w:val="007272F1"/>
    <w:rsid w:val="00730A2A"/>
    <w:rsid w:val="0073118F"/>
    <w:rsid w:val="00731948"/>
    <w:rsid w:val="00731E7A"/>
    <w:rsid w:val="00733E8D"/>
    <w:rsid w:val="00734927"/>
    <w:rsid w:val="00734E4E"/>
    <w:rsid w:val="00735C8E"/>
    <w:rsid w:val="0073699F"/>
    <w:rsid w:val="00736A79"/>
    <w:rsid w:val="00736C4D"/>
    <w:rsid w:val="00737FFB"/>
    <w:rsid w:val="007413BC"/>
    <w:rsid w:val="00742F0D"/>
    <w:rsid w:val="0074312D"/>
    <w:rsid w:val="007445F5"/>
    <w:rsid w:val="00744843"/>
    <w:rsid w:val="007451D1"/>
    <w:rsid w:val="00745282"/>
    <w:rsid w:val="0074585D"/>
    <w:rsid w:val="0074705E"/>
    <w:rsid w:val="00747459"/>
    <w:rsid w:val="007479D7"/>
    <w:rsid w:val="00747B92"/>
    <w:rsid w:val="007506EA"/>
    <w:rsid w:val="00750A6F"/>
    <w:rsid w:val="00750D0D"/>
    <w:rsid w:val="00750D4F"/>
    <w:rsid w:val="0075103E"/>
    <w:rsid w:val="007517B9"/>
    <w:rsid w:val="007534C7"/>
    <w:rsid w:val="00753B29"/>
    <w:rsid w:val="00753BF4"/>
    <w:rsid w:val="00754081"/>
    <w:rsid w:val="00755880"/>
    <w:rsid w:val="00755C10"/>
    <w:rsid w:val="007562A0"/>
    <w:rsid w:val="00756AD7"/>
    <w:rsid w:val="0075720C"/>
    <w:rsid w:val="007577B3"/>
    <w:rsid w:val="007577CF"/>
    <w:rsid w:val="00757FA4"/>
    <w:rsid w:val="007612F2"/>
    <w:rsid w:val="0076168A"/>
    <w:rsid w:val="00761699"/>
    <w:rsid w:val="00761D28"/>
    <w:rsid w:val="007624E9"/>
    <w:rsid w:val="0076331D"/>
    <w:rsid w:val="007635D6"/>
    <w:rsid w:val="00764F2C"/>
    <w:rsid w:val="00765A36"/>
    <w:rsid w:val="007671A6"/>
    <w:rsid w:val="007675D8"/>
    <w:rsid w:val="00767A49"/>
    <w:rsid w:val="00767B0F"/>
    <w:rsid w:val="00770303"/>
    <w:rsid w:val="0077037E"/>
    <w:rsid w:val="00770DF0"/>
    <w:rsid w:val="00771D06"/>
    <w:rsid w:val="00772DD8"/>
    <w:rsid w:val="00773280"/>
    <w:rsid w:val="00773299"/>
    <w:rsid w:val="0077501E"/>
    <w:rsid w:val="007756B1"/>
    <w:rsid w:val="00775A79"/>
    <w:rsid w:val="00776313"/>
    <w:rsid w:val="00776737"/>
    <w:rsid w:val="00776777"/>
    <w:rsid w:val="007769B1"/>
    <w:rsid w:val="00776A2E"/>
    <w:rsid w:val="00777178"/>
    <w:rsid w:val="007778A7"/>
    <w:rsid w:val="00777C02"/>
    <w:rsid w:val="00780092"/>
    <w:rsid w:val="0078045A"/>
    <w:rsid w:val="007808C0"/>
    <w:rsid w:val="007809CD"/>
    <w:rsid w:val="007810A3"/>
    <w:rsid w:val="00781122"/>
    <w:rsid w:val="00781CEA"/>
    <w:rsid w:val="00783018"/>
    <w:rsid w:val="007836D2"/>
    <w:rsid w:val="0078370E"/>
    <w:rsid w:val="0078441B"/>
    <w:rsid w:val="007857D3"/>
    <w:rsid w:val="00785A7D"/>
    <w:rsid w:val="00786256"/>
    <w:rsid w:val="0078676B"/>
    <w:rsid w:val="0078711F"/>
    <w:rsid w:val="00790546"/>
    <w:rsid w:val="00790569"/>
    <w:rsid w:val="007924A3"/>
    <w:rsid w:val="007924B4"/>
    <w:rsid w:val="007929D8"/>
    <w:rsid w:val="00792C98"/>
    <w:rsid w:val="00793488"/>
    <w:rsid w:val="0079358D"/>
    <w:rsid w:val="0079394B"/>
    <w:rsid w:val="007945D8"/>
    <w:rsid w:val="00794D41"/>
    <w:rsid w:val="00794D9A"/>
    <w:rsid w:val="00794FF6"/>
    <w:rsid w:val="00795213"/>
    <w:rsid w:val="00795ABC"/>
    <w:rsid w:val="00796197"/>
    <w:rsid w:val="00797030"/>
    <w:rsid w:val="007A0E1C"/>
    <w:rsid w:val="007A11A6"/>
    <w:rsid w:val="007A34EB"/>
    <w:rsid w:val="007A3731"/>
    <w:rsid w:val="007A3C8C"/>
    <w:rsid w:val="007A3D47"/>
    <w:rsid w:val="007A4749"/>
    <w:rsid w:val="007A4C1E"/>
    <w:rsid w:val="007A4F52"/>
    <w:rsid w:val="007A54AA"/>
    <w:rsid w:val="007A5CE9"/>
    <w:rsid w:val="007A60CF"/>
    <w:rsid w:val="007A7241"/>
    <w:rsid w:val="007A7CC1"/>
    <w:rsid w:val="007B1FEF"/>
    <w:rsid w:val="007B244D"/>
    <w:rsid w:val="007B28E4"/>
    <w:rsid w:val="007B3702"/>
    <w:rsid w:val="007B4274"/>
    <w:rsid w:val="007B464F"/>
    <w:rsid w:val="007B495A"/>
    <w:rsid w:val="007B51EF"/>
    <w:rsid w:val="007B5904"/>
    <w:rsid w:val="007B61F7"/>
    <w:rsid w:val="007B6CAF"/>
    <w:rsid w:val="007B717B"/>
    <w:rsid w:val="007B7604"/>
    <w:rsid w:val="007C06E5"/>
    <w:rsid w:val="007C0BE7"/>
    <w:rsid w:val="007C0E31"/>
    <w:rsid w:val="007C13B7"/>
    <w:rsid w:val="007C142B"/>
    <w:rsid w:val="007C1684"/>
    <w:rsid w:val="007C1AA7"/>
    <w:rsid w:val="007C248E"/>
    <w:rsid w:val="007C2596"/>
    <w:rsid w:val="007C2A68"/>
    <w:rsid w:val="007C2DA1"/>
    <w:rsid w:val="007C3410"/>
    <w:rsid w:val="007C35DF"/>
    <w:rsid w:val="007C3B32"/>
    <w:rsid w:val="007C3CE2"/>
    <w:rsid w:val="007C4B79"/>
    <w:rsid w:val="007C5ECD"/>
    <w:rsid w:val="007C617A"/>
    <w:rsid w:val="007C6AFD"/>
    <w:rsid w:val="007C726B"/>
    <w:rsid w:val="007C7754"/>
    <w:rsid w:val="007C7A3D"/>
    <w:rsid w:val="007C7DA4"/>
    <w:rsid w:val="007C7E50"/>
    <w:rsid w:val="007D0D98"/>
    <w:rsid w:val="007D1100"/>
    <w:rsid w:val="007D11EF"/>
    <w:rsid w:val="007D13C6"/>
    <w:rsid w:val="007D16C9"/>
    <w:rsid w:val="007D1C6E"/>
    <w:rsid w:val="007D1E72"/>
    <w:rsid w:val="007D2983"/>
    <w:rsid w:val="007D4BDA"/>
    <w:rsid w:val="007D4D6C"/>
    <w:rsid w:val="007D5ACF"/>
    <w:rsid w:val="007D6387"/>
    <w:rsid w:val="007D66A7"/>
    <w:rsid w:val="007D6A48"/>
    <w:rsid w:val="007D760B"/>
    <w:rsid w:val="007D789E"/>
    <w:rsid w:val="007E083B"/>
    <w:rsid w:val="007E08ED"/>
    <w:rsid w:val="007E0C67"/>
    <w:rsid w:val="007E0F1E"/>
    <w:rsid w:val="007E1128"/>
    <w:rsid w:val="007E1E2E"/>
    <w:rsid w:val="007E2405"/>
    <w:rsid w:val="007E24F6"/>
    <w:rsid w:val="007E2C41"/>
    <w:rsid w:val="007E2FB3"/>
    <w:rsid w:val="007E3732"/>
    <w:rsid w:val="007E38BB"/>
    <w:rsid w:val="007E4509"/>
    <w:rsid w:val="007E45C2"/>
    <w:rsid w:val="007E4911"/>
    <w:rsid w:val="007E4F01"/>
    <w:rsid w:val="007E62BA"/>
    <w:rsid w:val="007E6C40"/>
    <w:rsid w:val="007E74F7"/>
    <w:rsid w:val="007E76FE"/>
    <w:rsid w:val="007F05BD"/>
    <w:rsid w:val="007F06A6"/>
    <w:rsid w:val="007F1226"/>
    <w:rsid w:val="007F28ED"/>
    <w:rsid w:val="007F2A65"/>
    <w:rsid w:val="007F308F"/>
    <w:rsid w:val="007F33C8"/>
    <w:rsid w:val="007F36ED"/>
    <w:rsid w:val="007F3AA0"/>
    <w:rsid w:val="007F4282"/>
    <w:rsid w:val="007F4468"/>
    <w:rsid w:val="007F4567"/>
    <w:rsid w:val="007F4AC3"/>
    <w:rsid w:val="007F5057"/>
    <w:rsid w:val="007F5279"/>
    <w:rsid w:val="007F5289"/>
    <w:rsid w:val="007F52C5"/>
    <w:rsid w:val="007F535B"/>
    <w:rsid w:val="007F5AC6"/>
    <w:rsid w:val="007F5E9E"/>
    <w:rsid w:val="007F6142"/>
    <w:rsid w:val="007F6145"/>
    <w:rsid w:val="007F62A8"/>
    <w:rsid w:val="007F6D21"/>
    <w:rsid w:val="007F6F2B"/>
    <w:rsid w:val="007F6F64"/>
    <w:rsid w:val="007F7E10"/>
    <w:rsid w:val="0080070F"/>
    <w:rsid w:val="00800CDB"/>
    <w:rsid w:val="00801403"/>
    <w:rsid w:val="00801804"/>
    <w:rsid w:val="00801875"/>
    <w:rsid w:val="00801AAD"/>
    <w:rsid w:val="00801DF6"/>
    <w:rsid w:val="00802084"/>
    <w:rsid w:val="0080262E"/>
    <w:rsid w:val="00802F37"/>
    <w:rsid w:val="008030D5"/>
    <w:rsid w:val="00804725"/>
    <w:rsid w:val="008049D2"/>
    <w:rsid w:val="00804A8F"/>
    <w:rsid w:val="00807796"/>
    <w:rsid w:val="0081104D"/>
    <w:rsid w:val="0081145C"/>
    <w:rsid w:val="00811615"/>
    <w:rsid w:val="00812957"/>
    <w:rsid w:val="00813932"/>
    <w:rsid w:val="00813A7B"/>
    <w:rsid w:val="00813ACA"/>
    <w:rsid w:val="00813E2E"/>
    <w:rsid w:val="008156C7"/>
    <w:rsid w:val="00816330"/>
    <w:rsid w:val="00816B37"/>
    <w:rsid w:val="00816E54"/>
    <w:rsid w:val="00817C26"/>
    <w:rsid w:val="00820B08"/>
    <w:rsid w:val="00820BC0"/>
    <w:rsid w:val="00821BC2"/>
    <w:rsid w:val="008228BD"/>
    <w:rsid w:val="0082290A"/>
    <w:rsid w:val="00822A94"/>
    <w:rsid w:val="008240C6"/>
    <w:rsid w:val="00824322"/>
    <w:rsid w:val="008259BA"/>
    <w:rsid w:val="00825AF0"/>
    <w:rsid w:val="008262EC"/>
    <w:rsid w:val="0082630E"/>
    <w:rsid w:val="00826B58"/>
    <w:rsid w:val="008277DD"/>
    <w:rsid w:val="00827831"/>
    <w:rsid w:val="008300BB"/>
    <w:rsid w:val="00830461"/>
    <w:rsid w:val="00830F0A"/>
    <w:rsid w:val="00831435"/>
    <w:rsid w:val="0083279E"/>
    <w:rsid w:val="00832E04"/>
    <w:rsid w:val="008333C5"/>
    <w:rsid w:val="00833CD9"/>
    <w:rsid w:val="00834221"/>
    <w:rsid w:val="00834BE9"/>
    <w:rsid w:val="00834C94"/>
    <w:rsid w:val="00834F0F"/>
    <w:rsid w:val="00835B54"/>
    <w:rsid w:val="00836E98"/>
    <w:rsid w:val="00837066"/>
    <w:rsid w:val="00837CE4"/>
    <w:rsid w:val="00840796"/>
    <w:rsid w:val="00840F2A"/>
    <w:rsid w:val="0084128C"/>
    <w:rsid w:val="00841ADC"/>
    <w:rsid w:val="00842CD8"/>
    <w:rsid w:val="00843818"/>
    <w:rsid w:val="0084385B"/>
    <w:rsid w:val="00843BE3"/>
    <w:rsid w:val="008451E3"/>
    <w:rsid w:val="00845AC1"/>
    <w:rsid w:val="00845DBC"/>
    <w:rsid w:val="0084768F"/>
    <w:rsid w:val="0085064C"/>
    <w:rsid w:val="0085146C"/>
    <w:rsid w:val="008527BA"/>
    <w:rsid w:val="008530F6"/>
    <w:rsid w:val="008534CD"/>
    <w:rsid w:val="008535AB"/>
    <w:rsid w:val="00853832"/>
    <w:rsid w:val="00853E18"/>
    <w:rsid w:val="008542D9"/>
    <w:rsid w:val="008547CB"/>
    <w:rsid w:val="0085484D"/>
    <w:rsid w:val="00854DEA"/>
    <w:rsid w:val="008554FA"/>
    <w:rsid w:val="00856A7D"/>
    <w:rsid w:val="00856DC8"/>
    <w:rsid w:val="00857218"/>
    <w:rsid w:val="008579CB"/>
    <w:rsid w:val="00857B59"/>
    <w:rsid w:val="00857E12"/>
    <w:rsid w:val="00857FF1"/>
    <w:rsid w:val="008602B4"/>
    <w:rsid w:val="00860E7E"/>
    <w:rsid w:val="00860FB4"/>
    <w:rsid w:val="00861495"/>
    <w:rsid w:val="00861940"/>
    <w:rsid w:val="0086210C"/>
    <w:rsid w:val="0086213B"/>
    <w:rsid w:val="008627B0"/>
    <w:rsid w:val="00863290"/>
    <w:rsid w:val="008635D6"/>
    <w:rsid w:val="008646B2"/>
    <w:rsid w:val="00865321"/>
    <w:rsid w:val="008653E3"/>
    <w:rsid w:val="00866466"/>
    <w:rsid w:val="0086676D"/>
    <w:rsid w:val="0086695C"/>
    <w:rsid w:val="008669AB"/>
    <w:rsid w:val="00866D07"/>
    <w:rsid w:val="008675AA"/>
    <w:rsid w:val="00867BA1"/>
    <w:rsid w:val="00870E54"/>
    <w:rsid w:val="008710D5"/>
    <w:rsid w:val="0087118A"/>
    <w:rsid w:val="00871727"/>
    <w:rsid w:val="00873D7D"/>
    <w:rsid w:val="00875E8A"/>
    <w:rsid w:val="00875EF7"/>
    <w:rsid w:val="00876B70"/>
    <w:rsid w:val="0087780A"/>
    <w:rsid w:val="00877EF5"/>
    <w:rsid w:val="008805A6"/>
    <w:rsid w:val="00880B8A"/>
    <w:rsid w:val="00880B8E"/>
    <w:rsid w:val="00880F1C"/>
    <w:rsid w:val="00881542"/>
    <w:rsid w:val="00881705"/>
    <w:rsid w:val="00881BD3"/>
    <w:rsid w:val="00881C1A"/>
    <w:rsid w:val="00881F5B"/>
    <w:rsid w:val="008820F5"/>
    <w:rsid w:val="00883044"/>
    <w:rsid w:val="0088427D"/>
    <w:rsid w:val="0088497B"/>
    <w:rsid w:val="00885A8C"/>
    <w:rsid w:val="00886032"/>
    <w:rsid w:val="0088613A"/>
    <w:rsid w:val="008876CC"/>
    <w:rsid w:val="008878A3"/>
    <w:rsid w:val="00890246"/>
    <w:rsid w:val="008911C2"/>
    <w:rsid w:val="00891264"/>
    <w:rsid w:val="00891462"/>
    <w:rsid w:val="008914BE"/>
    <w:rsid w:val="008916CA"/>
    <w:rsid w:val="00892691"/>
    <w:rsid w:val="0089354C"/>
    <w:rsid w:val="00893CF2"/>
    <w:rsid w:val="00893DB5"/>
    <w:rsid w:val="008942F6"/>
    <w:rsid w:val="008946F2"/>
    <w:rsid w:val="00894B9F"/>
    <w:rsid w:val="00895594"/>
    <w:rsid w:val="0089596D"/>
    <w:rsid w:val="00897B0A"/>
    <w:rsid w:val="008A0150"/>
    <w:rsid w:val="008A09A3"/>
    <w:rsid w:val="008A09D5"/>
    <w:rsid w:val="008A1B27"/>
    <w:rsid w:val="008A1FE1"/>
    <w:rsid w:val="008A2F34"/>
    <w:rsid w:val="008A419A"/>
    <w:rsid w:val="008A4416"/>
    <w:rsid w:val="008A444C"/>
    <w:rsid w:val="008A5700"/>
    <w:rsid w:val="008A61D2"/>
    <w:rsid w:val="008A6336"/>
    <w:rsid w:val="008A6532"/>
    <w:rsid w:val="008A665E"/>
    <w:rsid w:val="008A684F"/>
    <w:rsid w:val="008A6EE2"/>
    <w:rsid w:val="008A7D1B"/>
    <w:rsid w:val="008B04B3"/>
    <w:rsid w:val="008B07D7"/>
    <w:rsid w:val="008B0855"/>
    <w:rsid w:val="008B0C6A"/>
    <w:rsid w:val="008B1D9D"/>
    <w:rsid w:val="008B256F"/>
    <w:rsid w:val="008B3A02"/>
    <w:rsid w:val="008B4502"/>
    <w:rsid w:val="008B488E"/>
    <w:rsid w:val="008B4926"/>
    <w:rsid w:val="008B5834"/>
    <w:rsid w:val="008B60C4"/>
    <w:rsid w:val="008B61FA"/>
    <w:rsid w:val="008B6658"/>
    <w:rsid w:val="008B77D4"/>
    <w:rsid w:val="008B7E60"/>
    <w:rsid w:val="008C059C"/>
    <w:rsid w:val="008C1180"/>
    <w:rsid w:val="008C17A6"/>
    <w:rsid w:val="008C1D32"/>
    <w:rsid w:val="008C2A89"/>
    <w:rsid w:val="008C2D57"/>
    <w:rsid w:val="008C5B09"/>
    <w:rsid w:val="008C6410"/>
    <w:rsid w:val="008C705E"/>
    <w:rsid w:val="008C7703"/>
    <w:rsid w:val="008C7ECD"/>
    <w:rsid w:val="008D0032"/>
    <w:rsid w:val="008D0563"/>
    <w:rsid w:val="008D08D8"/>
    <w:rsid w:val="008D1071"/>
    <w:rsid w:val="008D2045"/>
    <w:rsid w:val="008D23DB"/>
    <w:rsid w:val="008D2609"/>
    <w:rsid w:val="008D29DA"/>
    <w:rsid w:val="008D2DA1"/>
    <w:rsid w:val="008D313B"/>
    <w:rsid w:val="008D31D6"/>
    <w:rsid w:val="008D3210"/>
    <w:rsid w:val="008D336F"/>
    <w:rsid w:val="008D3404"/>
    <w:rsid w:val="008D34FD"/>
    <w:rsid w:val="008D3BB5"/>
    <w:rsid w:val="008D430A"/>
    <w:rsid w:val="008D4459"/>
    <w:rsid w:val="008D4FF1"/>
    <w:rsid w:val="008D535F"/>
    <w:rsid w:val="008D5897"/>
    <w:rsid w:val="008D5C35"/>
    <w:rsid w:val="008D5F44"/>
    <w:rsid w:val="008D6201"/>
    <w:rsid w:val="008D6CF7"/>
    <w:rsid w:val="008D771A"/>
    <w:rsid w:val="008D7E5B"/>
    <w:rsid w:val="008E08CD"/>
    <w:rsid w:val="008E08D5"/>
    <w:rsid w:val="008E1496"/>
    <w:rsid w:val="008E24C6"/>
    <w:rsid w:val="008E25F7"/>
    <w:rsid w:val="008E2EFD"/>
    <w:rsid w:val="008E38E7"/>
    <w:rsid w:val="008E3B3F"/>
    <w:rsid w:val="008E4A29"/>
    <w:rsid w:val="008E4A51"/>
    <w:rsid w:val="008E6CE5"/>
    <w:rsid w:val="008E71DF"/>
    <w:rsid w:val="008E742B"/>
    <w:rsid w:val="008F01D5"/>
    <w:rsid w:val="008F0C85"/>
    <w:rsid w:val="008F0CD5"/>
    <w:rsid w:val="008F345F"/>
    <w:rsid w:val="008F4037"/>
    <w:rsid w:val="008F411F"/>
    <w:rsid w:val="008F489E"/>
    <w:rsid w:val="008F4BFE"/>
    <w:rsid w:val="008F5352"/>
    <w:rsid w:val="008F5729"/>
    <w:rsid w:val="008F665F"/>
    <w:rsid w:val="008F6791"/>
    <w:rsid w:val="008F6F0B"/>
    <w:rsid w:val="008F6FA4"/>
    <w:rsid w:val="008F7098"/>
    <w:rsid w:val="008F754D"/>
    <w:rsid w:val="008F77C4"/>
    <w:rsid w:val="00900EFC"/>
    <w:rsid w:val="009012A9"/>
    <w:rsid w:val="00901697"/>
    <w:rsid w:val="0090252C"/>
    <w:rsid w:val="00903192"/>
    <w:rsid w:val="00905D7A"/>
    <w:rsid w:val="009064FF"/>
    <w:rsid w:val="009071B1"/>
    <w:rsid w:val="009072A1"/>
    <w:rsid w:val="00907714"/>
    <w:rsid w:val="00907834"/>
    <w:rsid w:val="00910046"/>
    <w:rsid w:val="00910209"/>
    <w:rsid w:val="00910A03"/>
    <w:rsid w:val="00910DEC"/>
    <w:rsid w:val="00911160"/>
    <w:rsid w:val="00911818"/>
    <w:rsid w:val="00911C08"/>
    <w:rsid w:val="00911EEE"/>
    <w:rsid w:val="009121DA"/>
    <w:rsid w:val="0091252C"/>
    <w:rsid w:val="00912747"/>
    <w:rsid w:val="00913133"/>
    <w:rsid w:val="009133F8"/>
    <w:rsid w:val="00913FB9"/>
    <w:rsid w:val="0091411C"/>
    <w:rsid w:val="0091482E"/>
    <w:rsid w:val="009148B2"/>
    <w:rsid w:val="009159DD"/>
    <w:rsid w:val="00915B27"/>
    <w:rsid w:val="009166BC"/>
    <w:rsid w:val="00916F60"/>
    <w:rsid w:val="00917529"/>
    <w:rsid w:val="0091763A"/>
    <w:rsid w:val="009177F8"/>
    <w:rsid w:val="009179A8"/>
    <w:rsid w:val="00917F3A"/>
    <w:rsid w:val="0092145E"/>
    <w:rsid w:val="00921A5C"/>
    <w:rsid w:val="00921D8D"/>
    <w:rsid w:val="0092282B"/>
    <w:rsid w:val="00922C3A"/>
    <w:rsid w:val="009237FB"/>
    <w:rsid w:val="009238BF"/>
    <w:rsid w:val="00923AAF"/>
    <w:rsid w:val="00924CC4"/>
    <w:rsid w:val="00925915"/>
    <w:rsid w:val="00925D55"/>
    <w:rsid w:val="0092640A"/>
    <w:rsid w:val="00927BDA"/>
    <w:rsid w:val="009303E4"/>
    <w:rsid w:val="009312B4"/>
    <w:rsid w:val="0093260B"/>
    <w:rsid w:val="00932842"/>
    <w:rsid w:val="0093371C"/>
    <w:rsid w:val="00933930"/>
    <w:rsid w:val="00934025"/>
    <w:rsid w:val="00934970"/>
    <w:rsid w:val="009349CB"/>
    <w:rsid w:val="00934ABF"/>
    <w:rsid w:val="00934D85"/>
    <w:rsid w:val="0093580C"/>
    <w:rsid w:val="0093581F"/>
    <w:rsid w:val="00935A8B"/>
    <w:rsid w:val="00935B52"/>
    <w:rsid w:val="00935BE7"/>
    <w:rsid w:val="00935E32"/>
    <w:rsid w:val="00937789"/>
    <w:rsid w:val="009379AB"/>
    <w:rsid w:val="00940BA5"/>
    <w:rsid w:val="00940EA1"/>
    <w:rsid w:val="00941DFA"/>
    <w:rsid w:val="00942606"/>
    <w:rsid w:val="009428CA"/>
    <w:rsid w:val="00942B8A"/>
    <w:rsid w:val="00942F3B"/>
    <w:rsid w:val="00943946"/>
    <w:rsid w:val="00943982"/>
    <w:rsid w:val="009447A5"/>
    <w:rsid w:val="00945490"/>
    <w:rsid w:val="0094624F"/>
    <w:rsid w:val="00946839"/>
    <w:rsid w:val="009473F1"/>
    <w:rsid w:val="00947552"/>
    <w:rsid w:val="00947F8D"/>
    <w:rsid w:val="009508AF"/>
    <w:rsid w:val="00951D8C"/>
    <w:rsid w:val="00952ACC"/>
    <w:rsid w:val="00953055"/>
    <w:rsid w:val="00954361"/>
    <w:rsid w:val="00955272"/>
    <w:rsid w:val="009561B9"/>
    <w:rsid w:val="00956D8F"/>
    <w:rsid w:val="0096004B"/>
    <w:rsid w:val="0096082F"/>
    <w:rsid w:val="00960E03"/>
    <w:rsid w:val="00961151"/>
    <w:rsid w:val="00961180"/>
    <w:rsid w:val="009611AB"/>
    <w:rsid w:val="00961383"/>
    <w:rsid w:val="009619F1"/>
    <w:rsid w:val="00961BD5"/>
    <w:rsid w:val="0096299A"/>
    <w:rsid w:val="00962F7E"/>
    <w:rsid w:val="0096314F"/>
    <w:rsid w:val="00963206"/>
    <w:rsid w:val="00963C51"/>
    <w:rsid w:val="009645BD"/>
    <w:rsid w:val="00964609"/>
    <w:rsid w:val="00964B02"/>
    <w:rsid w:val="00964CC2"/>
    <w:rsid w:val="00964F61"/>
    <w:rsid w:val="009656F6"/>
    <w:rsid w:val="00966204"/>
    <w:rsid w:val="00966737"/>
    <w:rsid w:val="00967315"/>
    <w:rsid w:val="0096779F"/>
    <w:rsid w:val="0097014B"/>
    <w:rsid w:val="0097054C"/>
    <w:rsid w:val="00971257"/>
    <w:rsid w:val="009712A5"/>
    <w:rsid w:val="00971593"/>
    <w:rsid w:val="00971B8E"/>
    <w:rsid w:val="009741EE"/>
    <w:rsid w:val="00976613"/>
    <w:rsid w:val="00976765"/>
    <w:rsid w:val="00976AD6"/>
    <w:rsid w:val="0097736E"/>
    <w:rsid w:val="00977C21"/>
    <w:rsid w:val="009800B5"/>
    <w:rsid w:val="00980B52"/>
    <w:rsid w:val="009813F9"/>
    <w:rsid w:val="00981702"/>
    <w:rsid w:val="0098236E"/>
    <w:rsid w:val="009823AE"/>
    <w:rsid w:val="00982D68"/>
    <w:rsid w:val="009841A1"/>
    <w:rsid w:val="00984A4D"/>
    <w:rsid w:val="00986CD8"/>
    <w:rsid w:val="009919A0"/>
    <w:rsid w:val="00991F60"/>
    <w:rsid w:val="0099338E"/>
    <w:rsid w:val="009934DA"/>
    <w:rsid w:val="00993CFD"/>
    <w:rsid w:val="009969C8"/>
    <w:rsid w:val="009970E3"/>
    <w:rsid w:val="00997221"/>
    <w:rsid w:val="009A0198"/>
    <w:rsid w:val="009A0510"/>
    <w:rsid w:val="009A0572"/>
    <w:rsid w:val="009A10BB"/>
    <w:rsid w:val="009A1126"/>
    <w:rsid w:val="009A1148"/>
    <w:rsid w:val="009A1CCA"/>
    <w:rsid w:val="009A1D4C"/>
    <w:rsid w:val="009A2120"/>
    <w:rsid w:val="009A300E"/>
    <w:rsid w:val="009A3DDC"/>
    <w:rsid w:val="009A4004"/>
    <w:rsid w:val="009A4774"/>
    <w:rsid w:val="009A5061"/>
    <w:rsid w:val="009A53D6"/>
    <w:rsid w:val="009A649E"/>
    <w:rsid w:val="009A72F7"/>
    <w:rsid w:val="009B0308"/>
    <w:rsid w:val="009B08AE"/>
    <w:rsid w:val="009B1506"/>
    <w:rsid w:val="009B26BD"/>
    <w:rsid w:val="009B2AEE"/>
    <w:rsid w:val="009B2E91"/>
    <w:rsid w:val="009B34A6"/>
    <w:rsid w:val="009B39C9"/>
    <w:rsid w:val="009B3F5F"/>
    <w:rsid w:val="009B4170"/>
    <w:rsid w:val="009B5213"/>
    <w:rsid w:val="009B5B99"/>
    <w:rsid w:val="009B5BFB"/>
    <w:rsid w:val="009B6089"/>
    <w:rsid w:val="009B62F3"/>
    <w:rsid w:val="009B6982"/>
    <w:rsid w:val="009B6984"/>
    <w:rsid w:val="009B6C72"/>
    <w:rsid w:val="009B75B6"/>
    <w:rsid w:val="009B7C34"/>
    <w:rsid w:val="009B7F2F"/>
    <w:rsid w:val="009C0118"/>
    <w:rsid w:val="009C1945"/>
    <w:rsid w:val="009C23AA"/>
    <w:rsid w:val="009C2592"/>
    <w:rsid w:val="009C326E"/>
    <w:rsid w:val="009C40D7"/>
    <w:rsid w:val="009C4372"/>
    <w:rsid w:val="009C443F"/>
    <w:rsid w:val="009C453D"/>
    <w:rsid w:val="009C4C19"/>
    <w:rsid w:val="009C5A57"/>
    <w:rsid w:val="009C5A69"/>
    <w:rsid w:val="009C7CF0"/>
    <w:rsid w:val="009D0D03"/>
    <w:rsid w:val="009D0D5F"/>
    <w:rsid w:val="009D17E7"/>
    <w:rsid w:val="009D2BC0"/>
    <w:rsid w:val="009D30F9"/>
    <w:rsid w:val="009D38C6"/>
    <w:rsid w:val="009D4087"/>
    <w:rsid w:val="009D4472"/>
    <w:rsid w:val="009D4C61"/>
    <w:rsid w:val="009D4D94"/>
    <w:rsid w:val="009D4F81"/>
    <w:rsid w:val="009D5627"/>
    <w:rsid w:val="009D7477"/>
    <w:rsid w:val="009E01AA"/>
    <w:rsid w:val="009E1205"/>
    <w:rsid w:val="009E1E06"/>
    <w:rsid w:val="009E23C4"/>
    <w:rsid w:val="009E25B8"/>
    <w:rsid w:val="009E27B3"/>
    <w:rsid w:val="009E27EC"/>
    <w:rsid w:val="009E30AD"/>
    <w:rsid w:val="009E31BB"/>
    <w:rsid w:val="009E33CB"/>
    <w:rsid w:val="009E3B85"/>
    <w:rsid w:val="009E3E27"/>
    <w:rsid w:val="009E412C"/>
    <w:rsid w:val="009E428D"/>
    <w:rsid w:val="009E42C2"/>
    <w:rsid w:val="009E5111"/>
    <w:rsid w:val="009E530A"/>
    <w:rsid w:val="009E56A0"/>
    <w:rsid w:val="009E5B0F"/>
    <w:rsid w:val="009E67B2"/>
    <w:rsid w:val="009E69C8"/>
    <w:rsid w:val="009E6B2B"/>
    <w:rsid w:val="009E6FD0"/>
    <w:rsid w:val="009E766C"/>
    <w:rsid w:val="009E7994"/>
    <w:rsid w:val="009F014D"/>
    <w:rsid w:val="009F0872"/>
    <w:rsid w:val="009F0CB7"/>
    <w:rsid w:val="009F1BB1"/>
    <w:rsid w:val="009F2589"/>
    <w:rsid w:val="009F295B"/>
    <w:rsid w:val="009F3194"/>
    <w:rsid w:val="009F38FF"/>
    <w:rsid w:val="009F48D2"/>
    <w:rsid w:val="009F58AD"/>
    <w:rsid w:val="009F60F3"/>
    <w:rsid w:val="009F6633"/>
    <w:rsid w:val="009F689D"/>
    <w:rsid w:val="009F7346"/>
    <w:rsid w:val="009F7771"/>
    <w:rsid w:val="00A003FB"/>
    <w:rsid w:val="00A01548"/>
    <w:rsid w:val="00A01790"/>
    <w:rsid w:val="00A021A0"/>
    <w:rsid w:val="00A021E4"/>
    <w:rsid w:val="00A02295"/>
    <w:rsid w:val="00A02A29"/>
    <w:rsid w:val="00A0328F"/>
    <w:rsid w:val="00A0329F"/>
    <w:rsid w:val="00A04178"/>
    <w:rsid w:val="00A04430"/>
    <w:rsid w:val="00A04858"/>
    <w:rsid w:val="00A048E6"/>
    <w:rsid w:val="00A05980"/>
    <w:rsid w:val="00A0629E"/>
    <w:rsid w:val="00A064B7"/>
    <w:rsid w:val="00A06A1A"/>
    <w:rsid w:val="00A06D5D"/>
    <w:rsid w:val="00A07079"/>
    <w:rsid w:val="00A07976"/>
    <w:rsid w:val="00A07C2D"/>
    <w:rsid w:val="00A07EDD"/>
    <w:rsid w:val="00A10487"/>
    <w:rsid w:val="00A10554"/>
    <w:rsid w:val="00A10C3D"/>
    <w:rsid w:val="00A10D92"/>
    <w:rsid w:val="00A113A9"/>
    <w:rsid w:val="00A120AE"/>
    <w:rsid w:val="00A12167"/>
    <w:rsid w:val="00A122DC"/>
    <w:rsid w:val="00A12336"/>
    <w:rsid w:val="00A12375"/>
    <w:rsid w:val="00A12991"/>
    <w:rsid w:val="00A12D86"/>
    <w:rsid w:val="00A12F17"/>
    <w:rsid w:val="00A13403"/>
    <w:rsid w:val="00A136D5"/>
    <w:rsid w:val="00A13CC1"/>
    <w:rsid w:val="00A1448D"/>
    <w:rsid w:val="00A1539C"/>
    <w:rsid w:val="00A16D3D"/>
    <w:rsid w:val="00A170BA"/>
    <w:rsid w:val="00A20950"/>
    <w:rsid w:val="00A20E6F"/>
    <w:rsid w:val="00A20F8D"/>
    <w:rsid w:val="00A213D7"/>
    <w:rsid w:val="00A2146B"/>
    <w:rsid w:val="00A2152C"/>
    <w:rsid w:val="00A216E7"/>
    <w:rsid w:val="00A224B0"/>
    <w:rsid w:val="00A22618"/>
    <w:rsid w:val="00A2262E"/>
    <w:rsid w:val="00A22ADE"/>
    <w:rsid w:val="00A23626"/>
    <w:rsid w:val="00A244B6"/>
    <w:rsid w:val="00A24B98"/>
    <w:rsid w:val="00A25445"/>
    <w:rsid w:val="00A25DB6"/>
    <w:rsid w:val="00A26312"/>
    <w:rsid w:val="00A26B00"/>
    <w:rsid w:val="00A26CC5"/>
    <w:rsid w:val="00A26CE2"/>
    <w:rsid w:val="00A27066"/>
    <w:rsid w:val="00A27D7C"/>
    <w:rsid w:val="00A302FF"/>
    <w:rsid w:val="00A31441"/>
    <w:rsid w:val="00A319B8"/>
    <w:rsid w:val="00A32CAD"/>
    <w:rsid w:val="00A32E31"/>
    <w:rsid w:val="00A33553"/>
    <w:rsid w:val="00A34829"/>
    <w:rsid w:val="00A3505F"/>
    <w:rsid w:val="00A35128"/>
    <w:rsid w:val="00A35A6D"/>
    <w:rsid w:val="00A35B3D"/>
    <w:rsid w:val="00A36844"/>
    <w:rsid w:val="00A36A0B"/>
    <w:rsid w:val="00A36AB5"/>
    <w:rsid w:val="00A3705A"/>
    <w:rsid w:val="00A37A90"/>
    <w:rsid w:val="00A400FA"/>
    <w:rsid w:val="00A40376"/>
    <w:rsid w:val="00A407FE"/>
    <w:rsid w:val="00A427C4"/>
    <w:rsid w:val="00A43885"/>
    <w:rsid w:val="00A445B6"/>
    <w:rsid w:val="00A44E57"/>
    <w:rsid w:val="00A44EC0"/>
    <w:rsid w:val="00A45335"/>
    <w:rsid w:val="00A453ED"/>
    <w:rsid w:val="00A45F97"/>
    <w:rsid w:val="00A46179"/>
    <w:rsid w:val="00A47202"/>
    <w:rsid w:val="00A4737B"/>
    <w:rsid w:val="00A47453"/>
    <w:rsid w:val="00A47546"/>
    <w:rsid w:val="00A47770"/>
    <w:rsid w:val="00A478ED"/>
    <w:rsid w:val="00A4793D"/>
    <w:rsid w:val="00A504F3"/>
    <w:rsid w:val="00A50666"/>
    <w:rsid w:val="00A50C8B"/>
    <w:rsid w:val="00A5177A"/>
    <w:rsid w:val="00A518D7"/>
    <w:rsid w:val="00A51B8C"/>
    <w:rsid w:val="00A51F54"/>
    <w:rsid w:val="00A52428"/>
    <w:rsid w:val="00A52E39"/>
    <w:rsid w:val="00A52F6C"/>
    <w:rsid w:val="00A5385A"/>
    <w:rsid w:val="00A53C12"/>
    <w:rsid w:val="00A53D74"/>
    <w:rsid w:val="00A53E57"/>
    <w:rsid w:val="00A5562E"/>
    <w:rsid w:val="00A55AFC"/>
    <w:rsid w:val="00A55BF9"/>
    <w:rsid w:val="00A5609C"/>
    <w:rsid w:val="00A56859"/>
    <w:rsid w:val="00A56AA8"/>
    <w:rsid w:val="00A575A1"/>
    <w:rsid w:val="00A57D8F"/>
    <w:rsid w:val="00A57F12"/>
    <w:rsid w:val="00A608F4"/>
    <w:rsid w:val="00A609E8"/>
    <w:rsid w:val="00A61333"/>
    <w:rsid w:val="00A621D8"/>
    <w:rsid w:val="00A62A01"/>
    <w:rsid w:val="00A62A31"/>
    <w:rsid w:val="00A6332B"/>
    <w:rsid w:val="00A6398C"/>
    <w:rsid w:val="00A65259"/>
    <w:rsid w:val="00A653E5"/>
    <w:rsid w:val="00A6584C"/>
    <w:rsid w:val="00A66190"/>
    <w:rsid w:val="00A6693A"/>
    <w:rsid w:val="00A66B05"/>
    <w:rsid w:val="00A66FCF"/>
    <w:rsid w:val="00A67681"/>
    <w:rsid w:val="00A67F06"/>
    <w:rsid w:val="00A713C3"/>
    <w:rsid w:val="00A714C4"/>
    <w:rsid w:val="00A71EEC"/>
    <w:rsid w:val="00A71F07"/>
    <w:rsid w:val="00A724AF"/>
    <w:rsid w:val="00A727D3"/>
    <w:rsid w:val="00A72C3E"/>
    <w:rsid w:val="00A72C40"/>
    <w:rsid w:val="00A72D4D"/>
    <w:rsid w:val="00A74516"/>
    <w:rsid w:val="00A749EA"/>
    <w:rsid w:val="00A74A09"/>
    <w:rsid w:val="00A75086"/>
    <w:rsid w:val="00A75089"/>
    <w:rsid w:val="00A752AD"/>
    <w:rsid w:val="00A75DE8"/>
    <w:rsid w:val="00A765EE"/>
    <w:rsid w:val="00A777D7"/>
    <w:rsid w:val="00A77B22"/>
    <w:rsid w:val="00A77BED"/>
    <w:rsid w:val="00A80911"/>
    <w:rsid w:val="00A8105B"/>
    <w:rsid w:val="00A81699"/>
    <w:rsid w:val="00A817FE"/>
    <w:rsid w:val="00A81CC8"/>
    <w:rsid w:val="00A82A8A"/>
    <w:rsid w:val="00A834AA"/>
    <w:rsid w:val="00A83AD9"/>
    <w:rsid w:val="00A83BCA"/>
    <w:rsid w:val="00A840C1"/>
    <w:rsid w:val="00A84223"/>
    <w:rsid w:val="00A842C7"/>
    <w:rsid w:val="00A852F1"/>
    <w:rsid w:val="00A86BCA"/>
    <w:rsid w:val="00A8745F"/>
    <w:rsid w:val="00A9178F"/>
    <w:rsid w:val="00A91DD0"/>
    <w:rsid w:val="00A922D9"/>
    <w:rsid w:val="00A92623"/>
    <w:rsid w:val="00A9273E"/>
    <w:rsid w:val="00A92ADA"/>
    <w:rsid w:val="00A93329"/>
    <w:rsid w:val="00A93431"/>
    <w:rsid w:val="00A93483"/>
    <w:rsid w:val="00A93B3C"/>
    <w:rsid w:val="00A93C2A"/>
    <w:rsid w:val="00A95EAB"/>
    <w:rsid w:val="00A9614A"/>
    <w:rsid w:val="00A963D7"/>
    <w:rsid w:val="00A969EC"/>
    <w:rsid w:val="00A96ABF"/>
    <w:rsid w:val="00A96D61"/>
    <w:rsid w:val="00AA01C6"/>
    <w:rsid w:val="00AA0513"/>
    <w:rsid w:val="00AA10AB"/>
    <w:rsid w:val="00AA1766"/>
    <w:rsid w:val="00AA332C"/>
    <w:rsid w:val="00AA3D2C"/>
    <w:rsid w:val="00AA4A25"/>
    <w:rsid w:val="00AA529A"/>
    <w:rsid w:val="00AA5517"/>
    <w:rsid w:val="00AA6710"/>
    <w:rsid w:val="00AA67C4"/>
    <w:rsid w:val="00AA702F"/>
    <w:rsid w:val="00AA77F7"/>
    <w:rsid w:val="00AA7C6A"/>
    <w:rsid w:val="00AA7FB3"/>
    <w:rsid w:val="00AB0604"/>
    <w:rsid w:val="00AB0849"/>
    <w:rsid w:val="00AB0955"/>
    <w:rsid w:val="00AB1394"/>
    <w:rsid w:val="00AB22A4"/>
    <w:rsid w:val="00AB2AB0"/>
    <w:rsid w:val="00AB2B1B"/>
    <w:rsid w:val="00AB305D"/>
    <w:rsid w:val="00AB355B"/>
    <w:rsid w:val="00AB3A70"/>
    <w:rsid w:val="00AB3F87"/>
    <w:rsid w:val="00AB40A1"/>
    <w:rsid w:val="00AB4BF4"/>
    <w:rsid w:val="00AB4D91"/>
    <w:rsid w:val="00AB51E7"/>
    <w:rsid w:val="00AB6C6E"/>
    <w:rsid w:val="00AB7216"/>
    <w:rsid w:val="00AB7461"/>
    <w:rsid w:val="00AB74DE"/>
    <w:rsid w:val="00AB7BF5"/>
    <w:rsid w:val="00AB7F9B"/>
    <w:rsid w:val="00AC0D85"/>
    <w:rsid w:val="00AC1D42"/>
    <w:rsid w:val="00AC1D7F"/>
    <w:rsid w:val="00AC1F90"/>
    <w:rsid w:val="00AC3251"/>
    <w:rsid w:val="00AC3B6D"/>
    <w:rsid w:val="00AC4151"/>
    <w:rsid w:val="00AC4426"/>
    <w:rsid w:val="00AC44D0"/>
    <w:rsid w:val="00AC462C"/>
    <w:rsid w:val="00AC481E"/>
    <w:rsid w:val="00AC4F51"/>
    <w:rsid w:val="00AC561E"/>
    <w:rsid w:val="00AC5DEF"/>
    <w:rsid w:val="00AC6A37"/>
    <w:rsid w:val="00AC729B"/>
    <w:rsid w:val="00AC731E"/>
    <w:rsid w:val="00AC7A8E"/>
    <w:rsid w:val="00AC7E07"/>
    <w:rsid w:val="00AD04A7"/>
    <w:rsid w:val="00AD1223"/>
    <w:rsid w:val="00AD15C5"/>
    <w:rsid w:val="00AD1A4A"/>
    <w:rsid w:val="00AD1AA5"/>
    <w:rsid w:val="00AD1C5F"/>
    <w:rsid w:val="00AD20CA"/>
    <w:rsid w:val="00AD2809"/>
    <w:rsid w:val="00AD28AE"/>
    <w:rsid w:val="00AD2C96"/>
    <w:rsid w:val="00AD2D99"/>
    <w:rsid w:val="00AD3506"/>
    <w:rsid w:val="00AD3540"/>
    <w:rsid w:val="00AD37E6"/>
    <w:rsid w:val="00AD3CDF"/>
    <w:rsid w:val="00AD4444"/>
    <w:rsid w:val="00AD4CFB"/>
    <w:rsid w:val="00AD4D07"/>
    <w:rsid w:val="00AD4F78"/>
    <w:rsid w:val="00AD54B7"/>
    <w:rsid w:val="00AD601B"/>
    <w:rsid w:val="00AD6B6F"/>
    <w:rsid w:val="00AD6F2F"/>
    <w:rsid w:val="00AD7E44"/>
    <w:rsid w:val="00AD7F83"/>
    <w:rsid w:val="00AE00F8"/>
    <w:rsid w:val="00AE021D"/>
    <w:rsid w:val="00AE0F13"/>
    <w:rsid w:val="00AE115D"/>
    <w:rsid w:val="00AE2006"/>
    <w:rsid w:val="00AE2DDB"/>
    <w:rsid w:val="00AE42EE"/>
    <w:rsid w:val="00AE464C"/>
    <w:rsid w:val="00AE4682"/>
    <w:rsid w:val="00AE47B3"/>
    <w:rsid w:val="00AE4F63"/>
    <w:rsid w:val="00AE5389"/>
    <w:rsid w:val="00AE6A85"/>
    <w:rsid w:val="00AE6E53"/>
    <w:rsid w:val="00AE714B"/>
    <w:rsid w:val="00AE7C9E"/>
    <w:rsid w:val="00AF01A4"/>
    <w:rsid w:val="00AF0843"/>
    <w:rsid w:val="00AF0AE1"/>
    <w:rsid w:val="00AF0CBF"/>
    <w:rsid w:val="00AF1156"/>
    <w:rsid w:val="00AF1550"/>
    <w:rsid w:val="00AF19A8"/>
    <w:rsid w:val="00AF1DCA"/>
    <w:rsid w:val="00AF1F1F"/>
    <w:rsid w:val="00AF2EF6"/>
    <w:rsid w:val="00AF3785"/>
    <w:rsid w:val="00AF39B9"/>
    <w:rsid w:val="00AF3C38"/>
    <w:rsid w:val="00AF415A"/>
    <w:rsid w:val="00AF4365"/>
    <w:rsid w:val="00AF4A05"/>
    <w:rsid w:val="00AF4AB5"/>
    <w:rsid w:val="00AF4C32"/>
    <w:rsid w:val="00AF4DBD"/>
    <w:rsid w:val="00AF56F9"/>
    <w:rsid w:val="00AF632F"/>
    <w:rsid w:val="00AF6573"/>
    <w:rsid w:val="00AF66D9"/>
    <w:rsid w:val="00AF728A"/>
    <w:rsid w:val="00AF7344"/>
    <w:rsid w:val="00B00595"/>
    <w:rsid w:val="00B00970"/>
    <w:rsid w:val="00B00ADF"/>
    <w:rsid w:val="00B018C2"/>
    <w:rsid w:val="00B01EA1"/>
    <w:rsid w:val="00B02B2B"/>
    <w:rsid w:val="00B034F2"/>
    <w:rsid w:val="00B036C1"/>
    <w:rsid w:val="00B03852"/>
    <w:rsid w:val="00B04132"/>
    <w:rsid w:val="00B04838"/>
    <w:rsid w:val="00B04B52"/>
    <w:rsid w:val="00B04F55"/>
    <w:rsid w:val="00B05360"/>
    <w:rsid w:val="00B058E5"/>
    <w:rsid w:val="00B05B78"/>
    <w:rsid w:val="00B06261"/>
    <w:rsid w:val="00B06448"/>
    <w:rsid w:val="00B06F65"/>
    <w:rsid w:val="00B07696"/>
    <w:rsid w:val="00B079B9"/>
    <w:rsid w:val="00B10094"/>
    <w:rsid w:val="00B10448"/>
    <w:rsid w:val="00B10522"/>
    <w:rsid w:val="00B10EAA"/>
    <w:rsid w:val="00B1111F"/>
    <w:rsid w:val="00B13360"/>
    <w:rsid w:val="00B13559"/>
    <w:rsid w:val="00B135D3"/>
    <w:rsid w:val="00B139E0"/>
    <w:rsid w:val="00B13DC8"/>
    <w:rsid w:val="00B14FD4"/>
    <w:rsid w:val="00B15370"/>
    <w:rsid w:val="00B15447"/>
    <w:rsid w:val="00B15771"/>
    <w:rsid w:val="00B15F45"/>
    <w:rsid w:val="00B167C6"/>
    <w:rsid w:val="00B17476"/>
    <w:rsid w:val="00B17C48"/>
    <w:rsid w:val="00B200D4"/>
    <w:rsid w:val="00B210C9"/>
    <w:rsid w:val="00B21DE9"/>
    <w:rsid w:val="00B23339"/>
    <w:rsid w:val="00B23430"/>
    <w:rsid w:val="00B23A70"/>
    <w:rsid w:val="00B23F89"/>
    <w:rsid w:val="00B241F2"/>
    <w:rsid w:val="00B24274"/>
    <w:rsid w:val="00B2491B"/>
    <w:rsid w:val="00B24E64"/>
    <w:rsid w:val="00B25D3C"/>
    <w:rsid w:val="00B25E69"/>
    <w:rsid w:val="00B2620A"/>
    <w:rsid w:val="00B27E73"/>
    <w:rsid w:val="00B30106"/>
    <w:rsid w:val="00B30550"/>
    <w:rsid w:val="00B3084F"/>
    <w:rsid w:val="00B30A90"/>
    <w:rsid w:val="00B30AAE"/>
    <w:rsid w:val="00B3214E"/>
    <w:rsid w:val="00B32220"/>
    <w:rsid w:val="00B32243"/>
    <w:rsid w:val="00B3270F"/>
    <w:rsid w:val="00B32C30"/>
    <w:rsid w:val="00B33AFA"/>
    <w:rsid w:val="00B35468"/>
    <w:rsid w:val="00B35E96"/>
    <w:rsid w:val="00B35F93"/>
    <w:rsid w:val="00B36B45"/>
    <w:rsid w:val="00B372D1"/>
    <w:rsid w:val="00B37C50"/>
    <w:rsid w:val="00B37CF4"/>
    <w:rsid w:val="00B40039"/>
    <w:rsid w:val="00B4092B"/>
    <w:rsid w:val="00B40D6F"/>
    <w:rsid w:val="00B411A8"/>
    <w:rsid w:val="00B4131A"/>
    <w:rsid w:val="00B41758"/>
    <w:rsid w:val="00B42359"/>
    <w:rsid w:val="00B42F2F"/>
    <w:rsid w:val="00B430BB"/>
    <w:rsid w:val="00B43503"/>
    <w:rsid w:val="00B439C9"/>
    <w:rsid w:val="00B44221"/>
    <w:rsid w:val="00B44264"/>
    <w:rsid w:val="00B442F1"/>
    <w:rsid w:val="00B44C92"/>
    <w:rsid w:val="00B455DE"/>
    <w:rsid w:val="00B457A6"/>
    <w:rsid w:val="00B46679"/>
    <w:rsid w:val="00B47DAB"/>
    <w:rsid w:val="00B51CFD"/>
    <w:rsid w:val="00B52059"/>
    <w:rsid w:val="00B52371"/>
    <w:rsid w:val="00B52569"/>
    <w:rsid w:val="00B52948"/>
    <w:rsid w:val="00B52DA6"/>
    <w:rsid w:val="00B5311C"/>
    <w:rsid w:val="00B5339E"/>
    <w:rsid w:val="00B539CB"/>
    <w:rsid w:val="00B53DB0"/>
    <w:rsid w:val="00B54833"/>
    <w:rsid w:val="00B54C67"/>
    <w:rsid w:val="00B55825"/>
    <w:rsid w:val="00B55B5E"/>
    <w:rsid w:val="00B55BC8"/>
    <w:rsid w:val="00B55C8C"/>
    <w:rsid w:val="00B56574"/>
    <w:rsid w:val="00B565C2"/>
    <w:rsid w:val="00B56A5E"/>
    <w:rsid w:val="00B57173"/>
    <w:rsid w:val="00B57B36"/>
    <w:rsid w:val="00B60ACF"/>
    <w:rsid w:val="00B60F36"/>
    <w:rsid w:val="00B61315"/>
    <w:rsid w:val="00B62810"/>
    <w:rsid w:val="00B6302E"/>
    <w:rsid w:val="00B6330F"/>
    <w:rsid w:val="00B64CE3"/>
    <w:rsid w:val="00B65070"/>
    <w:rsid w:val="00B650ED"/>
    <w:rsid w:val="00B6544D"/>
    <w:rsid w:val="00B65719"/>
    <w:rsid w:val="00B65AB2"/>
    <w:rsid w:val="00B65C7A"/>
    <w:rsid w:val="00B66184"/>
    <w:rsid w:val="00B6664C"/>
    <w:rsid w:val="00B66A47"/>
    <w:rsid w:val="00B673EB"/>
    <w:rsid w:val="00B7033B"/>
    <w:rsid w:val="00B70584"/>
    <w:rsid w:val="00B720A5"/>
    <w:rsid w:val="00B72931"/>
    <w:rsid w:val="00B74280"/>
    <w:rsid w:val="00B753F2"/>
    <w:rsid w:val="00B7540A"/>
    <w:rsid w:val="00B754B2"/>
    <w:rsid w:val="00B75559"/>
    <w:rsid w:val="00B76101"/>
    <w:rsid w:val="00B76187"/>
    <w:rsid w:val="00B7673A"/>
    <w:rsid w:val="00B773FD"/>
    <w:rsid w:val="00B775F0"/>
    <w:rsid w:val="00B7797A"/>
    <w:rsid w:val="00B77989"/>
    <w:rsid w:val="00B779B9"/>
    <w:rsid w:val="00B77C98"/>
    <w:rsid w:val="00B81106"/>
    <w:rsid w:val="00B81B5D"/>
    <w:rsid w:val="00B83465"/>
    <w:rsid w:val="00B838F8"/>
    <w:rsid w:val="00B84688"/>
    <w:rsid w:val="00B84D65"/>
    <w:rsid w:val="00B862B1"/>
    <w:rsid w:val="00B86355"/>
    <w:rsid w:val="00B86B37"/>
    <w:rsid w:val="00B86EC3"/>
    <w:rsid w:val="00B87F08"/>
    <w:rsid w:val="00B87FBD"/>
    <w:rsid w:val="00B90F2F"/>
    <w:rsid w:val="00B91A1E"/>
    <w:rsid w:val="00B92DEC"/>
    <w:rsid w:val="00B934AB"/>
    <w:rsid w:val="00B941C7"/>
    <w:rsid w:val="00B9463A"/>
    <w:rsid w:val="00B94A00"/>
    <w:rsid w:val="00B954D1"/>
    <w:rsid w:val="00B95D63"/>
    <w:rsid w:val="00B96073"/>
    <w:rsid w:val="00B96A9C"/>
    <w:rsid w:val="00B96BCA"/>
    <w:rsid w:val="00B96C0E"/>
    <w:rsid w:val="00B96E45"/>
    <w:rsid w:val="00B97089"/>
    <w:rsid w:val="00B971E6"/>
    <w:rsid w:val="00B97B6F"/>
    <w:rsid w:val="00B97B8D"/>
    <w:rsid w:val="00BA01A9"/>
    <w:rsid w:val="00BA02EB"/>
    <w:rsid w:val="00BA21EA"/>
    <w:rsid w:val="00BA3004"/>
    <w:rsid w:val="00BA34A0"/>
    <w:rsid w:val="00BA355F"/>
    <w:rsid w:val="00BA3A42"/>
    <w:rsid w:val="00BA3E73"/>
    <w:rsid w:val="00BA3F60"/>
    <w:rsid w:val="00BA5B9F"/>
    <w:rsid w:val="00BA6977"/>
    <w:rsid w:val="00BA6DF0"/>
    <w:rsid w:val="00BA6E9D"/>
    <w:rsid w:val="00BA7409"/>
    <w:rsid w:val="00BA7872"/>
    <w:rsid w:val="00BA7BD8"/>
    <w:rsid w:val="00BA7DB2"/>
    <w:rsid w:val="00BB0631"/>
    <w:rsid w:val="00BB0E80"/>
    <w:rsid w:val="00BB13A9"/>
    <w:rsid w:val="00BB148A"/>
    <w:rsid w:val="00BB196F"/>
    <w:rsid w:val="00BB20FE"/>
    <w:rsid w:val="00BB2574"/>
    <w:rsid w:val="00BB26E0"/>
    <w:rsid w:val="00BB27D7"/>
    <w:rsid w:val="00BB318B"/>
    <w:rsid w:val="00BB31C5"/>
    <w:rsid w:val="00BB323B"/>
    <w:rsid w:val="00BB329E"/>
    <w:rsid w:val="00BB3443"/>
    <w:rsid w:val="00BB3DF0"/>
    <w:rsid w:val="00BB44C1"/>
    <w:rsid w:val="00BB4B89"/>
    <w:rsid w:val="00BB59D1"/>
    <w:rsid w:val="00BB60F6"/>
    <w:rsid w:val="00BB7307"/>
    <w:rsid w:val="00BB74A9"/>
    <w:rsid w:val="00BB7E8E"/>
    <w:rsid w:val="00BC1557"/>
    <w:rsid w:val="00BC17F7"/>
    <w:rsid w:val="00BC1807"/>
    <w:rsid w:val="00BC20D4"/>
    <w:rsid w:val="00BC2F51"/>
    <w:rsid w:val="00BC3102"/>
    <w:rsid w:val="00BC3BEF"/>
    <w:rsid w:val="00BC3C75"/>
    <w:rsid w:val="00BC4BFC"/>
    <w:rsid w:val="00BC4C29"/>
    <w:rsid w:val="00BC6EB7"/>
    <w:rsid w:val="00BC77C0"/>
    <w:rsid w:val="00BC7E80"/>
    <w:rsid w:val="00BD038B"/>
    <w:rsid w:val="00BD04A3"/>
    <w:rsid w:val="00BD0515"/>
    <w:rsid w:val="00BD08D1"/>
    <w:rsid w:val="00BD08F2"/>
    <w:rsid w:val="00BD1919"/>
    <w:rsid w:val="00BD1DC5"/>
    <w:rsid w:val="00BD1F0A"/>
    <w:rsid w:val="00BD2D0E"/>
    <w:rsid w:val="00BD3145"/>
    <w:rsid w:val="00BD3DEF"/>
    <w:rsid w:val="00BD4078"/>
    <w:rsid w:val="00BD4C2F"/>
    <w:rsid w:val="00BD4C9B"/>
    <w:rsid w:val="00BD51A0"/>
    <w:rsid w:val="00BD63D1"/>
    <w:rsid w:val="00BD647B"/>
    <w:rsid w:val="00BD6E32"/>
    <w:rsid w:val="00BD7591"/>
    <w:rsid w:val="00BE027F"/>
    <w:rsid w:val="00BE0583"/>
    <w:rsid w:val="00BE05E2"/>
    <w:rsid w:val="00BE05F2"/>
    <w:rsid w:val="00BE06E8"/>
    <w:rsid w:val="00BE0BCE"/>
    <w:rsid w:val="00BE0E0F"/>
    <w:rsid w:val="00BE1E42"/>
    <w:rsid w:val="00BE400F"/>
    <w:rsid w:val="00BE472C"/>
    <w:rsid w:val="00BE47D4"/>
    <w:rsid w:val="00BE556D"/>
    <w:rsid w:val="00BE5DBE"/>
    <w:rsid w:val="00BE5E58"/>
    <w:rsid w:val="00BE63D4"/>
    <w:rsid w:val="00BE63EE"/>
    <w:rsid w:val="00BE694F"/>
    <w:rsid w:val="00BE774D"/>
    <w:rsid w:val="00BE7D83"/>
    <w:rsid w:val="00BF0798"/>
    <w:rsid w:val="00BF09FA"/>
    <w:rsid w:val="00BF0C85"/>
    <w:rsid w:val="00BF1083"/>
    <w:rsid w:val="00BF1696"/>
    <w:rsid w:val="00BF16F9"/>
    <w:rsid w:val="00BF1A90"/>
    <w:rsid w:val="00BF1FDD"/>
    <w:rsid w:val="00BF2406"/>
    <w:rsid w:val="00BF2E02"/>
    <w:rsid w:val="00BF36A5"/>
    <w:rsid w:val="00BF46CC"/>
    <w:rsid w:val="00BF5270"/>
    <w:rsid w:val="00BF5FBA"/>
    <w:rsid w:val="00BF6D77"/>
    <w:rsid w:val="00BF7441"/>
    <w:rsid w:val="00BF7757"/>
    <w:rsid w:val="00BF7E4C"/>
    <w:rsid w:val="00C00468"/>
    <w:rsid w:val="00C00E42"/>
    <w:rsid w:val="00C0158D"/>
    <w:rsid w:val="00C038B0"/>
    <w:rsid w:val="00C03B4F"/>
    <w:rsid w:val="00C03D22"/>
    <w:rsid w:val="00C03FC4"/>
    <w:rsid w:val="00C0400A"/>
    <w:rsid w:val="00C04102"/>
    <w:rsid w:val="00C043EA"/>
    <w:rsid w:val="00C04E14"/>
    <w:rsid w:val="00C052DC"/>
    <w:rsid w:val="00C054FA"/>
    <w:rsid w:val="00C05B2C"/>
    <w:rsid w:val="00C06396"/>
    <w:rsid w:val="00C06C69"/>
    <w:rsid w:val="00C07A65"/>
    <w:rsid w:val="00C10896"/>
    <w:rsid w:val="00C1226F"/>
    <w:rsid w:val="00C125D5"/>
    <w:rsid w:val="00C1343D"/>
    <w:rsid w:val="00C13B1E"/>
    <w:rsid w:val="00C1464F"/>
    <w:rsid w:val="00C14EDB"/>
    <w:rsid w:val="00C15F0B"/>
    <w:rsid w:val="00C15FCA"/>
    <w:rsid w:val="00C1601D"/>
    <w:rsid w:val="00C16F92"/>
    <w:rsid w:val="00C17440"/>
    <w:rsid w:val="00C17F50"/>
    <w:rsid w:val="00C20312"/>
    <w:rsid w:val="00C209BF"/>
    <w:rsid w:val="00C21305"/>
    <w:rsid w:val="00C21FAB"/>
    <w:rsid w:val="00C22088"/>
    <w:rsid w:val="00C22399"/>
    <w:rsid w:val="00C23447"/>
    <w:rsid w:val="00C2455E"/>
    <w:rsid w:val="00C24620"/>
    <w:rsid w:val="00C248BB"/>
    <w:rsid w:val="00C248CD"/>
    <w:rsid w:val="00C24B15"/>
    <w:rsid w:val="00C24D24"/>
    <w:rsid w:val="00C24EA5"/>
    <w:rsid w:val="00C2626D"/>
    <w:rsid w:val="00C26630"/>
    <w:rsid w:val="00C26945"/>
    <w:rsid w:val="00C30212"/>
    <w:rsid w:val="00C31EA3"/>
    <w:rsid w:val="00C3206E"/>
    <w:rsid w:val="00C32616"/>
    <w:rsid w:val="00C34362"/>
    <w:rsid w:val="00C344D7"/>
    <w:rsid w:val="00C349B4"/>
    <w:rsid w:val="00C35A36"/>
    <w:rsid w:val="00C36872"/>
    <w:rsid w:val="00C37316"/>
    <w:rsid w:val="00C379DD"/>
    <w:rsid w:val="00C37FBA"/>
    <w:rsid w:val="00C40577"/>
    <w:rsid w:val="00C40797"/>
    <w:rsid w:val="00C40BF3"/>
    <w:rsid w:val="00C416F8"/>
    <w:rsid w:val="00C42207"/>
    <w:rsid w:val="00C42A96"/>
    <w:rsid w:val="00C42E8F"/>
    <w:rsid w:val="00C433E6"/>
    <w:rsid w:val="00C44304"/>
    <w:rsid w:val="00C444A5"/>
    <w:rsid w:val="00C454AE"/>
    <w:rsid w:val="00C45A5D"/>
    <w:rsid w:val="00C46B53"/>
    <w:rsid w:val="00C46BFB"/>
    <w:rsid w:val="00C47028"/>
    <w:rsid w:val="00C535A8"/>
    <w:rsid w:val="00C53C81"/>
    <w:rsid w:val="00C540C3"/>
    <w:rsid w:val="00C54CE9"/>
    <w:rsid w:val="00C55069"/>
    <w:rsid w:val="00C55938"/>
    <w:rsid w:val="00C571E3"/>
    <w:rsid w:val="00C575D0"/>
    <w:rsid w:val="00C57738"/>
    <w:rsid w:val="00C57D6F"/>
    <w:rsid w:val="00C61121"/>
    <w:rsid w:val="00C62325"/>
    <w:rsid w:val="00C62A12"/>
    <w:rsid w:val="00C637FC"/>
    <w:rsid w:val="00C63810"/>
    <w:rsid w:val="00C64D86"/>
    <w:rsid w:val="00C64E1D"/>
    <w:rsid w:val="00C652A7"/>
    <w:rsid w:val="00C652B0"/>
    <w:rsid w:val="00C65581"/>
    <w:rsid w:val="00C656BB"/>
    <w:rsid w:val="00C65A4B"/>
    <w:rsid w:val="00C65B85"/>
    <w:rsid w:val="00C65E47"/>
    <w:rsid w:val="00C66417"/>
    <w:rsid w:val="00C66C54"/>
    <w:rsid w:val="00C6749D"/>
    <w:rsid w:val="00C678D3"/>
    <w:rsid w:val="00C67AA1"/>
    <w:rsid w:val="00C7100D"/>
    <w:rsid w:val="00C723C2"/>
    <w:rsid w:val="00C72578"/>
    <w:rsid w:val="00C72763"/>
    <w:rsid w:val="00C72BAE"/>
    <w:rsid w:val="00C731B2"/>
    <w:rsid w:val="00C74053"/>
    <w:rsid w:val="00C74D62"/>
    <w:rsid w:val="00C74E5E"/>
    <w:rsid w:val="00C753F3"/>
    <w:rsid w:val="00C7570C"/>
    <w:rsid w:val="00C75ED5"/>
    <w:rsid w:val="00C75FA7"/>
    <w:rsid w:val="00C768E3"/>
    <w:rsid w:val="00C76E5E"/>
    <w:rsid w:val="00C80395"/>
    <w:rsid w:val="00C80A69"/>
    <w:rsid w:val="00C81A9F"/>
    <w:rsid w:val="00C821DA"/>
    <w:rsid w:val="00C82639"/>
    <w:rsid w:val="00C82EE4"/>
    <w:rsid w:val="00C83089"/>
    <w:rsid w:val="00C830BC"/>
    <w:rsid w:val="00C83AEB"/>
    <w:rsid w:val="00C84311"/>
    <w:rsid w:val="00C8448E"/>
    <w:rsid w:val="00C86708"/>
    <w:rsid w:val="00C86B60"/>
    <w:rsid w:val="00C877F2"/>
    <w:rsid w:val="00C87F34"/>
    <w:rsid w:val="00C907C1"/>
    <w:rsid w:val="00C90E4B"/>
    <w:rsid w:val="00C9203E"/>
    <w:rsid w:val="00C9230F"/>
    <w:rsid w:val="00C92989"/>
    <w:rsid w:val="00C92D49"/>
    <w:rsid w:val="00C92F30"/>
    <w:rsid w:val="00C92FE0"/>
    <w:rsid w:val="00C93116"/>
    <w:rsid w:val="00C93585"/>
    <w:rsid w:val="00C93820"/>
    <w:rsid w:val="00C958FA"/>
    <w:rsid w:val="00C959B4"/>
    <w:rsid w:val="00C95C49"/>
    <w:rsid w:val="00C97A9B"/>
    <w:rsid w:val="00CA01DD"/>
    <w:rsid w:val="00CA0517"/>
    <w:rsid w:val="00CA0579"/>
    <w:rsid w:val="00CA0EC5"/>
    <w:rsid w:val="00CA11EC"/>
    <w:rsid w:val="00CA120A"/>
    <w:rsid w:val="00CA15FF"/>
    <w:rsid w:val="00CA1DF2"/>
    <w:rsid w:val="00CA2485"/>
    <w:rsid w:val="00CA333E"/>
    <w:rsid w:val="00CA3441"/>
    <w:rsid w:val="00CA4B6B"/>
    <w:rsid w:val="00CA53C6"/>
    <w:rsid w:val="00CA5E4E"/>
    <w:rsid w:val="00CA679E"/>
    <w:rsid w:val="00CA693F"/>
    <w:rsid w:val="00CA70E0"/>
    <w:rsid w:val="00CA78D9"/>
    <w:rsid w:val="00CB1559"/>
    <w:rsid w:val="00CB1B24"/>
    <w:rsid w:val="00CB20D1"/>
    <w:rsid w:val="00CB27B2"/>
    <w:rsid w:val="00CB2CF4"/>
    <w:rsid w:val="00CB3B68"/>
    <w:rsid w:val="00CB3F16"/>
    <w:rsid w:val="00CB426C"/>
    <w:rsid w:val="00CB4714"/>
    <w:rsid w:val="00CB4FE3"/>
    <w:rsid w:val="00CB5E29"/>
    <w:rsid w:val="00CB6C45"/>
    <w:rsid w:val="00CB6F71"/>
    <w:rsid w:val="00CB6FB4"/>
    <w:rsid w:val="00CB71B8"/>
    <w:rsid w:val="00CC0C44"/>
    <w:rsid w:val="00CC21C1"/>
    <w:rsid w:val="00CC21CC"/>
    <w:rsid w:val="00CC2212"/>
    <w:rsid w:val="00CC2DA9"/>
    <w:rsid w:val="00CC2E7F"/>
    <w:rsid w:val="00CC3427"/>
    <w:rsid w:val="00CC3611"/>
    <w:rsid w:val="00CC448E"/>
    <w:rsid w:val="00CC4C52"/>
    <w:rsid w:val="00CC4C66"/>
    <w:rsid w:val="00CC4D87"/>
    <w:rsid w:val="00CC5FD9"/>
    <w:rsid w:val="00CC7B75"/>
    <w:rsid w:val="00CC7CDA"/>
    <w:rsid w:val="00CC7D78"/>
    <w:rsid w:val="00CD027F"/>
    <w:rsid w:val="00CD046C"/>
    <w:rsid w:val="00CD084A"/>
    <w:rsid w:val="00CD1C99"/>
    <w:rsid w:val="00CD1D46"/>
    <w:rsid w:val="00CD25EB"/>
    <w:rsid w:val="00CD2B68"/>
    <w:rsid w:val="00CD2D54"/>
    <w:rsid w:val="00CD3C11"/>
    <w:rsid w:val="00CD45CA"/>
    <w:rsid w:val="00CD46F8"/>
    <w:rsid w:val="00CD58E0"/>
    <w:rsid w:val="00CD6B0D"/>
    <w:rsid w:val="00CD6E85"/>
    <w:rsid w:val="00CD7A37"/>
    <w:rsid w:val="00CE08AB"/>
    <w:rsid w:val="00CE08CD"/>
    <w:rsid w:val="00CE0B29"/>
    <w:rsid w:val="00CE0BDB"/>
    <w:rsid w:val="00CE0C0C"/>
    <w:rsid w:val="00CE0D20"/>
    <w:rsid w:val="00CE10BE"/>
    <w:rsid w:val="00CE14A4"/>
    <w:rsid w:val="00CE2F01"/>
    <w:rsid w:val="00CE411D"/>
    <w:rsid w:val="00CE4D0F"/>
    <w:rsid w:val="00CE5035"/>
    <w:rsid w:val="00CE5C7F"/>
    <w:rsid w:val="00CE5D20"/>
    <w:rsid w:val="00CE61FD"/>
    <w:rsid w:val="00CE7DD4"/>
    <w:rsid w:val="00CF0329"/>
    <w:rsid w:val="00CF0B13"/>
    <w:rsid w:val="00CF0C4C"/>
    <w:rsid w:val="00CF0D73"/>
    <w:rsid w:val="00CF144C"/>
    <w:rsid w:val="00CF1B71"/>
    <w:rsid w:val="00CF1D60"/>
    <w:rsid w:val="00CF1F79"/>
    <w:rsid w:val="00CF2437"/>
    <w:rsid w:val="00CF2446"/>
    <w:rsid w:val="00CF2690"/>
    <w:rsid w:val="00CF2FB1"/>
    <w:rsid w:val="00CF371B"/>
    <w:rsid w:val="00CF4B36"/>
    <w:rsid w:val="00CF5BD9"/>
    <w:rsid w:val="00CF5FAE"/>
    <w:rsid w:val="00CF6769"/>
    <w:rsid w:val="00CF6822"/>
    <w:rsid w:val="00CF7E07"/>
    <w:rsid w:val="00D01A9E"/>
    <w:rsid w:val="00D01D0C"/>
    <w:rsid w:val="00D020A5"/>
    <w:rsid w:val="00D0273A"/>
    <w:rsid w:val="00D027D7"/>
    <w:rsid w:val="00D02AB0"/>
    <w:rsid w:val="00D03F2C"/>
    <w:rsid w:val="00D053C3"/>
    <w:rsid w:val="00D070B6"/>
    <w:rsid w:val="00D071A1"/>
    <w:rsid w:val="00D074C1"/>
    <w:rsid w:val="00D0779B"/>
    <w:rsid w:val="00D10112"/>
    <w:rsid w:val="00D1042C"/>
    <w:rsid w:val="00D115DD"/>
    <w:rsid w:val="00D11969"/>
    <w:rsid w:val="00D128B2"/>
    <w:rsid w:val="00D12DFE"/>
    <w:rsid w:val="00D13390"/>
    <w:rsid w:val="00D140A9"/>
    <w:rsid w:val="00D142DE"/>
    <w:rsid w:val="00D1473E"/>
    <w:rsid w:val="00D147A0"/>
    <w:rsid w:val="00D14AF7"/>
    <w:rsid w:val="00D15ECF"/>
    <w:rsid w:val="00D164F0"/>
    <w:rsid w:val="00D16BC0"/>
    <w:rsid w:val="00D16CE0"/>
    <w:rsid w:val="00D17094"/>
    <w:rsid w:val="00D174E6"/>
    <w:rsid w:val="00D176E7"/>
    <w:rsid w:val="00D20186"/>
    <w:rsid w:val="00D20631"/>
    <w:rsid w:val="00D20DF7"/>
    <w:rsid w:val="00D2115F"/>
    <w:rsid w:val="00D215C1"/>
    <w:rsid w:val="00D21774"/>
    <w:rsid w:val="00D23C9D"/>
    <w:rsid w:val="00D2513B"/>
    <w:rsid w:val="00D2578D"/>
    <w:rsid w:val="00D26F41"/>
    <w:rsid w:val="00D273B3"/>
    <w:rsid w:val="00D276A6"/>
    <w:rsid w:val="00D27D74"/>
    <w:rsid w:val="00D27F17"/>
    <w:rsid w:val="00D30890"/>
    <w:rsid w:val="00D30CB1"/>
    <w:rsid w:val="00D310D6"/>
    <w:rsid w:val="00D3131C"/>
    <w:rsid w:val="00D31BF4"/>
    <w:rsid w:val="00D333B6"/>
    <w:rsid w:val="00D33561"/>
    <w:rsid w:val="00D33BDE"/>
    <w:rsid w:val="00D33E94"/>
    <w:rsid w:val="00D340FC"/>
    <w:rsid w:val="00D34A51"/>
    <w:rsid w:val="00D35773"/>
    <w:rsid w:val="00D3676E"/>
    <w:rsid w:val="00D36C9F"/>
    <w:rsid w:val="00D36D2F"/>
    <w:rsid w:val="00D375E1"/>
    <w:rsid w:val="00D4219A"/>
    <w:rsid w:val="00D422C6"/>
    <w:rsid w:val="00D428CE"/>
    <w:rsid w:val="00D42B74"/>
    <w:rsid w:val="00D42E87"/>
    <w:rsid w:val="00D43491"/>
    <w:rsid w:val="00D43DE8"/>
    <w:rsid w:val="00D43FC4"/>
    <w:rsid w:val="00D44663"/>
    <w:rsid w:val="00D44860"/>
    <w:rsid w:val="00D450FC"/>
    <w:rsid w:val="00D451C0"/>
    <w:rsid w:val="00D45FE4"/>
    <w:rsid w:val="00D46AAA"/>
    <w:rsid w:val="00D46AEF"/>
    <w:rsid w:val="00D472DE"/>
    <w:rsid w:val="00D4778D"/>
    <w:rsid w:val="00D47CC4"/>
    <w:rsid w:val="00D47E7E"/>
    <w:rsid w:val="00D51896"/>
    <w:rsid w:val="00D523DE"/>
    <w:rsid w:val="00D524C2"/>
    <w:rsid w:val="00D52A50"/>
    <w:rsid w:val="00D52D0E"/>
    <w:rsid w:val="00D52E0B"/>
    <w:rsid w:val="00D53B19"/>
    <w:rsid w:val="00D53EFD"/>
    <w:rsid w:val="00D54685"/>
    <w:rsid w:val="00D54A67"/>
    <w:rsid w:val="00D54ABE"/>
    <w:rsid w:val="00D54E9B"/>
    <w:rsid w:val="00D5676A"/>
    <w:rsid w:val="00D5686C"/>
    <w:rsid w:val="00D56DE1"/>
    <w:rsid w:val="00D57A3A"/>
    <w:rsid w:val="00D57B3B"/>
    <w:rsid w:val="00D60C84"/>
    <w:rsid w:val="00D60E59"/>
    <w:rsid w:val="00D61C99"/>
    <w:rsid w:val="00D62490"/>
    <w:rsid w:val="00D626BE"/>
    <w:rsid w:val="00D629A0"/>
    <w:rsid w:val="00D629C4"/>
    <w:rsid w:val="00D62B38"/>
    <w:rsid w:val="00D63102"/>
    <w:rsid w:val="00D646FA"/>
    <w:rsid w:val="00D65D9F"/>
    <w:rsid w:val="00D662CC"/>
    <w:rsid w:val="00D66686"/>
    <w:rsid w:val="00D6680B"/>
    <w:rsid w:val="00D66CA9"/>
    <w:rsid w:val="00D67C60"/>
    <w:rsid w:val="00D67CFA"/>
    <w:rsid w:val="00D70165"/>
    <w:rsid w:val="00D71018"/>
    <w:rsid w:val="00D724D6"/>
    <w:rsid w:val="00D72F2C"/>
    <w:rsid w:val="00D73922"/>
    <w:rsid w:val="00D740CE"/>
    <w:rsid w:val="00D746FF"/>
    <w:rsid w:val="00D74E84"/>
    <w:rsid w:val="00D75048"/>
    <w:rsid w:val="00D75126"/>
    <w:rsid w:val="00D75A3C"/>
    <w:rsid w:val="00D764A5"/>
    <w:rsid w:val="00D7681A"/>
    <w:rsid w:val="00D7782F"/>
    <w:rsid w:val="00D800F7"/>
    <w:rsid w:val="00D80149"/>
    <w:rsid w:val="00D81052"/>
    <w:rsid w:val="00D8112E"/>
    <w:rsid w:val="00D814AA"/>
    <w:rsid w:val="00D81C88"/>
    <w:rsid w:val="00D81DC6"/>
    <w:rsid w:val="00D83BEF"/>
    <w:rsid w:val="00D83E3A"/>
    <w:rsid w:val="00D84A7A"/>
    <w:rsid w:val="00D84DDE"/>
    <w:rsid w:val="00D84F10"/>
    <w:rsid w:val="00D8513D"/>
    <w:rsid w:val="00D85E08"/>
    <w:rsid w:val="00D85E78"/>
    <w:rsid w:val="00D86010"/>
    <w:rsid w:val="00D873F2"/>
    <w:rsid w:val="00D876C0"/>
    <w:rsid w:val="00D8795F"/>
    <w:rsid w:val="00D87C5A"/>
    <w:rsid w:val="00D9053D"/>
    <w:rsid w:val="00D90791"/>
    <w:rsid w:val="00D90B5B"/>
    <w:rsid w:val="00D9188D"/>
    <w:rsid w:val="00D91982"/>
    <w:rsid w:val="00D92314"/>
    <w:rsid w:val="00D925E6"/>
    <w:rsid w:val="00D936D5"/>
    <w:rsid w:val="00D93938"/>
    <w:rsid w:val="00D9486C"/>
    <w:rsid w:val="00D94BC6"/>
    <w:rsid w:val="00D952BF"/>
    <w:rsid w:val="00D954B8"/>
    <w:rsid w:val="00D9555D"/>
    <w:rsid w:val="00D960D9"/>
    <w:rsid w:val="00D9661A"/>
    <w:rsid w:val="00D96766"/>
    <w:rsid w:val="00D96E5D"/>
    <w:rsid w:val="00D97DE4"/>
    <w:rsid w:val="00DA0091"/>
    <w:rsid w:val="00DA0106"/>
    <w:rsid w:val="00DA03E8"/>
    <w:rsid w:val="00DA1D09"/>
    <w:rsid w:val="00DA3325"/>
    <w:rsid w:val="00DA3B22"/>
    <w:rsid w:val="00DA4C99"/>
    <w:rsid w:val="00DA575E"/>
    <w:rsid w:val="00DA5A62"/>
    <w:rsid w:val="00DA689D"/>
    <w:rsid w:val="00DA69D7"/>
    <w:rsid w:val="00DA7027"/>
    <w:rsid w:val="00DA7471"/>
    <w:rsid w:val="00DB0273"/>
    <w:rsid w:val="00DB0755"/>
    <w:rsid w:val="00DB0BE7"/>
    <w:rsid w:val="00DB1602"/>
    <w:rsid w:val="00DB1DC7"/>
    <w:rsid w:val="00DB34BB"/>
    <w:rsid w:val="00DB41FE"/>
    <w:rsid w:val="00DB4B3F"/>
    <w:rsid w:val="00DB4BC9"/>
    <w:rsid w:val="00DB4E4F"/>
    <w:rsid w:val="00DB559C"/>
    <w:rsid w:val="00DB5A01"/>
    <w:rsid w:val="00DB5A54"/>
    <w:rsid w:val="00DB6236"/>
    <w:rsid w:val="00DB679C"/>
    <w:rsid w:val="00DB688E"/>
    <w:rsid w:val="00DB6B69"/>
    <w:rsid w:val="00DB6EA5"/>
    <w:rsid w:val="00DB70E1"/>
    <w:rsid w:val="00DB73A6"/>
    <w:rsid w:val="00DB7ECC"/>
    <w:rsid w:val="00DC078A"/>
    <w:rsid w:val="00DC07F3"/>
    <w:rsid w:val="00DC1283"/>
    <w:rsid w:val="00DC1443"/>
    <w:rsid w:val="00DC189B"/>
    <w:rsid w:val="00DC1CD5"/>
    <w:rsid w:val="00DC2ACB"/>
    <w:rsid w:val="00DC2E2B"/>
    <w:rsid w:val="00DC4351"/>
    <w:rsid w:val="00DC5192"/>
    <w:rsid w:val="00DC555C"/>
    <w:rsid w:val="00DC569C"/>
    <w:rsid w:val="00DC5A34"/>
    <w:rsid w:val="00DC5C89"/>
    <w:rsid w:val="00DC5FBE"/>
    <w:rsid w:val="00DC761C"/>
    <w:rsid w:val="00DC7E4C"/>
    <w:rsid w:val="00DD0CFD"/>
    <w:rsid w:val="00DD1A56"/>
    <w:rsid w:val="00DD2A9F"/>
    <w:rsid w:val="00DD3684"/>
    <w:rsid w:val="00DD49F5"/>
    <w:rsid w:val="00DD4A5D"/>
    <w:rsid w:val="00DD4BF2"/>
    <w:rsid w:val="00DD4D1C"/>
    <w:rsid w:val="00DD5C56"/>
    <w:rsid w:val="00DD5D3D"/>
    <w:rsid w:val="00DD6051"/>
    <w:rsid w:val="00DD6EE9"/>
    <w:rsid w:val="00DD7492"/>
    <w:rsid w:val="00DD7520"/>
    <w:rsid w:val="00DD7A20"/>
    <w:rsid w:val="00DE095D"/>
    <w:rsid w:val="00DE0A7D"/>
    <w:rsid w:val="00DE0D9C"/>
    <w:rsid w:val="00DE0E43"/>
    <w:rsid w:val="00DE108F"/>
    <w:rsid w:val="00DE1115"/>
    <w:rsid w:val="00DE13F9"/>
    <w:rsid w:val="00DE1524"/>
    <w:rsid w:val="00DE1D2C"/>
    <w:rsid w:val="00DE31CF"/>
    <w:rsid w:val="00DE4B08"/>
    <w:rsid w:val="00DE53D5"/>
    <w:rsid w:val="00DE58F8"/>
    <w:rsid w:val="00DE61BC"/>
    <w:rsid w:val="00DE6ADC"/>
    <w:rsid w:val="00DE6CA6"/>
    <w:rsid w:val="00DE6F43"/>
    <w:rsid w:val="00DE759B"/>
    <w:rsid w:val="00DF02FC"/>
    <w:rsid w:val="00DF19C9"/>
    <w:rsid w:val="00DF1D1C"/>
    <w:rsid w:val="00DF2634"/>
    <w:rsid w:val="00DF26FE"/>
    <w:rsid w:val="00DF3815"/>
    <w:rsid w:val="00DF5897"/>
    <w:rsid w:val="00DF5C6F"/>
    <w:rsid w:val="00DF6C87"/>
    <w:rsid w:val="00DF709F"/>
    <w:rsid w:val="00E00191"/>
    <w:rsid w:val="00E00AA3"/>
    <w:rsid w:val="00E01713"/>
    <w:rsid w:val="00E0174C"/>
    <w:rsid w:val="00E0176D"/>
    <w:rsid w:val="00E017DA"/>
    <w:rsid w:val="00E01AD3"/>
    <w:rsid w:val="00E02643"/>
    <w:rsid w:val="00E0288A"/>
    <w:rsid w:val="00E02D9B"/>
    <w:rsid w:val="00E03676"/>
    <w:rsid w:val="00E03D43"/>
    <w:rsid w:val="00E03E26"/>
    <w:rsid w:val="00E03FE2"/>
    <w:rsid w:val="00E0404E"/>
    <w:rsid w:val="00E0462D"/>
    <w:rsid w:val="00E0588D"/>
    <w:rsid w:val="00E05CAF"/>
    <w:rsid w:val="00E0680A"/>
    <w:rsid w:val="00E06FC6"/>
    <w:rsid w:val="00E100D8"/>
    <w:rsid w:val="00E10261"/>
    <w:rsid w:val="00E11049"/>
    <w:rsid w:val="00E112F8"/>
    <w:rsid w:val="00E12629"/>
    <w:rsid w:val="00E126D8"/>
    <w:rsid w:val="00E12CF2"/>
    <w:rsid w:val="00E141EA"/>
    <w:rsid w:val="00E14AFE"/>
    <w:rsid w:val="00E1547B"/>
    <w:rsid w:val="00E1571D"/>
    <w:rsid w:val="00E15BBA"/>
    <w:rsid w:val="00E15C56"/>
    <w:rsid w:val="00E169A1"/>
    <w:rsid w:val="00E16F12"/>
    <w:rsid w:val="00E17DBA"/>
    <w:rsid w:val="00E20320"/>
    <w:rsid w:val="00E20913"/>
    <w:rsid w:val="00E20EB5"/>
    <w:rsid w:val="00E2118D"/>
    <w:rsid w:val="00E212C7"/>
    <w:rsid w:val="00E21B52"/>
    <w:rsid w:val="00E23001"/>
    <w:rsid w:val="00E237CA"/>
    <w:rsid w:val="00E23D47"/>
    <w:rsid w:val="00E24515"/>
    <w:rsid w:val="00E24F08"/>
    <w:rsid w:val="00E254C3"/>
    <w:rsid w:val="00E258F2"/>
    <w:rsid w:val="00E268B9"/>
    <w:rsid w:val="00E26C99"/>
    <w:rsid w:val="00E27EAD"/>
    <w:rsid w:val="00E30095"/>
    <w:rsid w:val="00E301C7"/>
    <w:rsid w:val="00E307F1"/>
    <w:rsid w:val="00E312F1"/>
    <w:rsid w:val="00E319E5"/>
    <w:rsid w:val="00E31D07"/>
    <w:rsid w:val="00E32313"/>
    <w:rsid w:val="00E32D01"/>
    <w:rsid w:val="00E32F91"/>
    <w:rsid w:val="00E33773"/>
    <w:rsid w:val="00E359E2"/>
    <w:rsid w:val="00E35B19"/>
    <w:rsid w:val="00E35BCE"/>
    <w:rsid w:val="00E36482"/>
    <w:rsid w:val="00E36673"/>
    <w:rsid w:val="00E36AC2"/>
    <w:rsid w:val="00E37AE9"/>
    <w:rsid w:val="00E40827"/>
    <w:rsid w:val="00E408C4"/>
    <w:rsid w:val="00E40F22"/>
    <w:rsid w:val="00E412C8"/>
    <w:rsid w:val="00E41B58"/>
    <w:rsid w:val="00E41F2B"/>
    <w:rsid w:val="00E42590"/>
    <w:rsid w:val="00E44375"/>
    <w:rsid w:val="00E45588"/>
    <w:rsid w:val="00E45747"/>
    <w:rsid w:val="00E46A64"/>
    <w:rsid w:val="00E474B0"/>
    <w:rsid w:val="00E4750B"/>
    <w:rsid w:val="00E47D3F"/>
    <w:rsid w:val="00E500F1"/>
    <w:rsid w:val="00E50703"/>
    <w:rsid w:val="00E50A64"/>
    <w:rsid w:val="00E50AEA"/>
    <w:rsid w:val="00E516B8"/>
    <w:rsid w:val="00E51A7E"/>
    <w:rsid w:val="00E520EF"/>
    <w:rsid w:val="00E52220"/>
    <w:rsid w:val="00E53242"/>
    <w:rsid w:val="00E53339"/>
    <w:rsid w:val="00E533DE"/>
    <w:rsid w:val="00E5347F"/>
    <w:rsid w:val="00E536EF"/>
    <w:rsid w:val="00E545CE"/>
    <w:rsid w:val="00E5514C"/>
    <w:rsid w:val="00E555F9"/>
    <w:rsid w:val="00E559B5"/>
    <w:rsid w:val="00E55A5E"/>
    <w:rsid w:val="00E566C0"/>
    <w:rsid w:val="00E56972"/>
    <w:rsid w:val="00E570DF"/>
    <w:rsid w:val="00E576C1"/>
    <w:rsid w:val="00E57A7C"/>
    <w:rsid w:val="00E607D5"/>
    <w:rsid w:val="00E60896"/>
    <w:rsid w:val="00E60DB6"/>
    <w:rsid w:val="00E61A4A"/>
    <w:rsid w:val="00E62CF7"/>
    <w:rsid w:val="00E62E1E"/>
    <w:rsid w:val="00E63428"/>
    <w:rsid w:val="00E6375C"/>
    <w:rsid w:val="00E63CFE"/>
    <w:rsid w:val="00E64946"/>
    <w:rsid w:val="00E649DA"/>
    <w:rsid w:val="00E649FE"/>
    <w:rsid w:val="00E64CD2"/>
    <w:rsid w:val="00E67008"/>
    <w:rsid w:val="00E67328"/>
    <w:rsid w:val="00E67734"/>
    <w:rsid w:val="00E706C6"/>
    <w:rsid w:val="00E72630"/>
    <w:rsid w:val="00E727CF"/>
    <w:rsid w:val="00E72913"/>
    <w:rsid w:val="00E73522"/>
    <w:rsid w:val="00E7397B"/>
    <w:rsid w:val="00E74B68"/>
    <w:rsid w:val="00E74BAA"/>
    <w:rsid w:val="00E75B2B"/>
    <w:rsid w:val="00E775A4"/>
    <w:rsid w:val="00E80611"/>
    <w:rsid w:val="00E80BB1"/>
    <w:rsid w:val="00E80FCC"/>
    <w:rsid w:val="00E8133D"/>
    <w:rsid w:val="00E81346"/>
    <w:rsid w:val="00E817E8"/>
    <w:rsid w:val="00E81862"/>
    <w:rsid w:val="00E81A3B"/>
    <w:rsid w:val="00E81B9F"/>
    <w:rsid w:val="00E82B40"/>
    <w:rsid w:val="00E82BD7"/>
    <w:rsid w:val="00E82C1D"/>
    <w:rsid w:val="00E8387B"/>
    <w:rsid w:val="00E84045"/>
    <w:rsid w:val="00E8485D"/>
    <w:rsid w:val="00E85092"/>
    <w:rsid w:val="00E851DF"/>
    <w:rsid w:val="00E854F4"/>
    <w:rsid w:val="00E8599A"/>
    <w:rsid w:val="00E85D8E"/>
    <w:rsid w:val="00E85F1A"/>
    <w:rsid w:val="00E86C50"/>
    <w:rsid w:val="00E87270"/>
    <w:rsid w:val="00E87B52"/>
    <w:rsid w:val="00E87E34"/>
    <w:rsid w:val="00E902B0"/>
    <w:rsid w:val="00E905F7"/>
    <w:rsid w:val="00E90F5D"/>
    <w:rsid w:val="00E910BC"/>
    <w:rsid w:val="00E91242"/>
    <w:rsid w:val="00E91259"/>
    <w:rsid w:val="00E9254D"/>
    <w:rsid w:val="00E930D7"/>
    <w:rsid w:val="00E9593A"/>
    <w:rsid w:val="00E95BE8"/>
    <w:rsid w:val="00E96A7E"/>
    <w:rsid w:val="00E96FC3"/>
    <w:rsid w:val="00E97305"/>
    <w:rsid w:val="00E97509"/>
    <w:rsid w:val="00EA00F3"/>
    <w:rsid w:val="00EA0C0F"/>
    <w:rsid w:val="00EA0C20"/>
    <w:rsid w:val="00EA143C"/>
    <w:rsid w:val="00EA2281"/>
    <w:rsid w:val="00EA2B8F"/>
    <w:rsid w:val="00EA3081"/>
    <w:rsid w:val="00EA3744"/>
    <w:rsid w:val="00EA409E"/>
    <w:rsid w:val="00EA4736"/>
    <w:rsid w:val="00EA4867"/>
    <w:rsid w:val="00EA4C5D"/>
    <w:rsid w:val="00EA5011"/>
    <w:rsid w:val="00EA55CA"/>
    <w:rsid w:val="00EA5600"/>
    <w:rsid w:val="00EA5946"/>
    <w:rsid w:val="00EA5E4C"/>
    <w:rsid w:val="00EA655E"/>
    <w:rsid w:val="00EB04FE"/>
    <w:rsid w:val="00EB06EB"/>
    <w:rsid w:val="00EB0EAB"/>
    <w:rsid w:val="00EB2371"/>
    <w:rsid w:val="00EB277F"/>
    <w:rsid w:val="00EB2C92"/>
    <w:rsid w:val="00EB2EE7"/>
    <w:rsid w:val="00EB3B5A"/>
    <w:rsid w:val="00EB4FD8"/>
    <w:rsid w:val="00EB5699"/>
    <w:rsid w:val="00EB5AD0"/>
    <w:rsid w:val="00EB5BB8"/>
    <w:rsid w:val="00EB6A8E"/>
    <w:rsid w:val="00EB7978"/>
    <w:rsid w:val="00EC0267"/>
    <w:rsid w:val="00EC06B0"/>
    <w:rsid w:val="00EC17DD"/>
    <w:rsid w:val="00EC28A5"/>
    <w:rsid w:val="00EC2E6A"/>
    <w:rsid w:val="00EC3194"/>
    <w:rsid w:val="00EC3196"/>
    <w:rsid w:val="00EC31A2"/>
    <w:rsid w:val="00EC3571"/>
    <w:rsid w:val="00EC37C1"/>
    <w:rsid w:val="00EC3EB9"/>
    <w:rsid w:val="00EC43A5"/>
    <w:rsid w:val="00EC447A"/>
    <w:rsid w:val="00EC4567"/>
    <w:rsid w:val="00EC4606"/>
    <w:rsid w:val="00EC5A6E"/>
    <w:rsid w:val="00EC6038"/>
    <w:rsid w:val="00EC67D0"/>
    <w:rsid w:val="00ED01A7"/>
    <w:rsid w:val="00ED0984"/>
    <w:rsid w:val="00ED10D0"/>
    <w:rsid w:val="00ED169B"/>
    <w:rsid w:val="00ED1B8E"/>
    <w:rsid w:val="00ED2419"/>
    <w:rsid w:val="00ED3670"/>
    <w:rsid w:val="00ED3B50"/>
    <w:rsid w:val="00ED3FF9"/>
    <w:rsid w:val="00ED4145"/>
    <w:rsid w:val="00ED4E1C"/>
    <w:rsid w:val="00ED4F0C"/>
    <w:rsid w:val="00ED60AD"/>
    <w:rsid w:val="00ED61AC"/>
    <w:rsid w:val="00ED6B77"/>
    <w:rsid w:val="00ED6E17"/>
    <w:rsid w:val="00ED6EF1"/>
    <w:rsid w:val="00ED79EB"/>
    <w:rsid w:val="00EE08BB"/>
    <w:rsid w:val="00EE0E83"/>
    <w:rsid w:val="00EE168E"/>
    <w:rsid w:val="00EE1B9E"/>
    <w:rsid w:val="00EE1E41"/>
    <w:rsid w:val="00EE2745"/>
    <w:rsid w:val="00EE2A47"/>
    <w:rsid w:val="00EE2AD6"/>
    <w:rsid w:val="00EE3E0A"/>
    <w:rsid w:val="00EE45E3"/>
    <w:rsid w:val="00EE4CF2"/>
    <w:rsid w:val="00EE4E94"/>
    <w:rsid w:val="00EE6A0D"/>
    <w:rsid w:val="00EE73E3"/>
    <w:rsid w:val="00EF03FF"/>
    <w:rsid w:val="00EF1163"/>
    <w:rsid w:val="00EF12AA"/>
    <w:rsid w:val="00EF294A"/>
    <w:rsid w:val="00EF2F6D"/>
    <w:rsid w:val="00EF31A4"/>
    <w:rsid w:val="00EF38DF"/>
    <w:rsid w:val="00EF4353"/>
    <w:rsid w:val="00EF47E1"/>
    <w:rsid w:val="00EF51BA"/>
    <w:rsid w:val="00EF54C1"/>
    <w:rsid w:val="00EF565B"/>
    <w:rsid w:val="00EF5D6A"/>
    <w:rsid w:val="00EF5F63"/>
    <w:rsid w:val="00EF684F"/>
    <w:rsid w:val="00EF7184"/>
    <w:rsid w:val="00F0012C"/>
    <w:rsid w:val="00F00773"/>
    <w:rsid w:val="00F02E22"/>
    <w:rsid w:val="00F03570"/>
    <w:rsid w:val="00F037D3"/>
    <w:rsid w:val="00F03C21"/>
    <w:rsid w:val="00F04083"/>
    <w:rsid w:val="00F04787"/>
    <w:rsid w:val="00F05A34"/>
    <w:rsid w:val="00F0601A"/>
    <w:rsid w:val="00F06BD0"/>
    <w:rsid w:val="00F07A6E"/>
    <w:rsid w:val="00F07A6F"/>
    <w:rsid w:val="00F104D8"/>
    <w:rsid w:val="00F10BD8"/>
    <w:rsid w:val="00F10EDB"/>
    <w:rsid w:val="00F11658"/>
    <w:rsid w:val="00F118F4"/>
    <w:rsid w:val="00F119DB"/>
    <w:rsid w:val="00F12081"/>
    <w:rsid w:val="00F12B56"/>
    <w:rsid w:val="00F12C49"/>
    <w:rsid w:val="00F13994"/>
    <w:rsid w:val="00F141CE"/>
    <w:rsid w:val="00F14219"/>
    <w:rsid w:val="00F148D5"/>
    <w:rsid w:val="00F14BE0"/>
    <w:rsid w:val="00F14CA3"/>
    <w:rsid w:val="00F15331"/>
    <w:rsid w:val="00F155D1"/>
    <w:rsid w:val="00F15889"/>
    <w:rsid w:val="00F15B33"/>
    <w:rsid w:val="00F15C37"/>
    <w:rsid w:val="00F16A37"/>
    <w:rsid w:val="00F16A94"/>
    <w:rsid w:val="00F16E56"/>
    <w:rsid w:val="00F16E71"/>
    <w:rsid w:val="00F16EAC"/>
    <w:rsid w:val="00F175A8"/>
    <w:rsid w:val="00F17FD5"/>
    <w:rsid w:val="00F21132"/>
    <w:rsid w:val="00F2143B"/>
    <w:rsid w:val="00F225CE"/>
    <w:rsid w:val="00F233CB"/>
    <w:rsid w:val="00F240C6"/>
    <w:rsid w:val="00F24B76"/>
    <w:rsid w:val="00F25813"/>
    <w:rsid w:val="00F26446"/>
    <w:rsid w:val="00F271C6"/>
    <w:rsid w:val="00F27413"/>
    <w:rsid w:val="00F2795E"/>
    <w:rsid w:val="00F27FEB"/>
    <w:rsid w:val="00F30421"/>
    <w:rsid w:val="00F30501"/>
    <w:rsid w:val="00F31D2B"/>
    <w:rsid w:val="00F32F47"/>
    <w:rsid w:val="00F33127"/>
    <w:rsid w:val="00F335A8"/>
    <w:rsid w:val="00F337E7"/>
    <w:rsid w:val="00F33AA1"/>
    <w:rsid w:val="00F34C1B"/>
    <w:rsid w:val="00F34EB7"/>
    <w:rsid w:val="00F35D05"/>
    <w:rsid w:val="00F35E4C"/>
    <w:rsid w:val="00F36210"/>
    <w:rsid w:val="00F37A99"/>
    <w:rsid w:val="00F37C06"/>
    <w:rsid w:val="00F37D54"/>
    <w:rsid w:val="00F404F9"/>
    <w:rsid w:val="00F413E9"/>
    <w:rsid w:val="00F4241C"/>
    <w:rsid w:val="00F42590"/>
    <w:rsid w:val="00F42D88"/>
    <w:rsid w:val="00F43488"/>
    <w:rsid w:val="00F435F6"/>
    <w:rsid w:val="00F43666"/>
    <w:rsid w:val="00F444AE"/>
    <w:rsid w:val="00F44BE8"/>
    <w:rsid w:val="00F458F1"/>
    <w:rsid w:val="00F4597A"/>
    <w:rsid w:val="00F45AC5"/>
    <w:rsid w:val="00F461C5"/>
    <w:rsid w:val="00F46418"/>
    <w:rsid w:val="00F46421"/>
    <w:rsid w:val="00F4678D"/>
    <w:rsid w:val="00F46940"/>
    <w:rsid w:val="00F47924"/>
    <w:rsid w:val="00F47C5D"/>
    <w:rsid w:val="00F50458"/>
    <w:rsid w:val="00F50881"/>
    <w:rsid w:val="00F50F62"/>
    <w:rsid w:val="00F51B21"/>
    <w:rsid w:val="00F51BA0"/>
    <w:rsid w:val="00F51C79"/>
    <w:rsid w:val="00F524F8"/>
    <w:rsid w:val="00F52573"/>
    <w:rsid w:val="00F52823"/>
    <w:rsid w:val="00F52C7E"/>
    <w:rsid w:val="00F52F2F"/>
    <w:rsid w:val="00F5325F"/>
    <w:rsid w:val="00F53556"/>
    <w:rsid w:val="00F54169"/>
    <w:rsid w:val="00F544DB"/>
    <w:rsid w:val="00F551B3"/>
    <w:rsid w:val="00F55353"/>
    <w:rsid w:val="00F55617"/>
    <w:rsid w:val="00F55A96"/>
    <w:rsid w:val="00F55C88"/>
    <w:rsid w:val="00F5697D"/>
    <w:rsid w:val="00F56F4C"/>
    <w:rsid w:val="00F57348"/>
    <w:rsid w:val="00F57FCD"/>
    <w:rsid w:val="00F600A4"/>
    <w:rsid w:val="00F6042F"/>
    <w:rsid w:val="00F60D88"/>
    <w:rsid w:val="00F6230F"/>
    <w:rsid w:val="00F62397"/>
    <w:rsid w:val="00F624F4"/>
    <w:rsid w:val="00F625CD"/>
    <w:rsid w:val="00F62911"/>
    <w:rsid w:val="00F62BA4"/>
    <w:rsid w:val="00F62C02"/>
    <w:rsid w:val="00F633A3"/>
    <w:rsid w:val="00F63C96"/>
    <w:rsid w:val="00F64426"/>
    <w:rsid w:val="00F649BC"/>
    <w:rsid w:val="00F659B6"/>
    <w:rsid w:val="00F6657F"/>
    <w:rsid w:val="00F66678"/>
    <w:rsid w:val="00F66B15"/>
    <w:rsid w:val="00F67650"/>
    <w:rsid w:val="00F67C65"/>
    <w:rsid w:val="00F7136A"/>
    <w:rsid w:val="00F71411"/>
    <w:rsid w:val="00F7236E"/>
    <w:rsid w:val="00F72B64"/>
    <w:rsid w:val="00F72B8C"/>
    <w:rsid w:val="00F72EB1"/>
    <w:rsid w:val="00F7375F"/>
    <w:rsid w:val="00F74105"/>
    <w:rsid w:val="00F74828"/>
    <w:rsid w:val="00F753EF"/>
    <w:rsid w:val="00F757C0"/>
    <w:rsid w:val="00F75887"/>
    <w:rsid w:val="00F75CD3"/>
    <w:rsid w:val="00F75EB3"/>
    <w:rsid w:val="00F763A8"/>
    <w:rsid w:val="00F76AA0"/>
    <w:rsid w:val="00F7717C"/>
    <w:rsid w:val="00F773EB"/>
    <w:rsid w:val="00F774A5"/>
    <w:rsid w:val="00F77A22"/>
    <w:rsid w:val="00F8033A"/>
    <w:rsid w:val="00F80F8E"/>
    <w:rsid w:val="00F8103B"/>
    <w:rsid w:val="00F81912"/>
    <w:rsid w:val="00F81B2A"/>
    <w:rsid w:val="00F81F8B"/>
    <w:rsid w:val="00F82933"/>
    <w:rsid w:val="00F836D4"/>
    <w:rsid w:val="00F83745"/>
    <w:rsid w:val="00F843C8"/>
    <w:rsid w:val="00F84508"/>
    <w:rsid w:val="00F84528"/>
    <w:rsid w:val="00F845D5"/>
    <w:rsid w:val="00F84D39"/>
    <w:rsid w:val="00F84EE7"/>
    <w:rsid w:val="00F850FE"/>
    <w:rsid w:val="00F85F82"/>
    <w:rsid w:val="00F90172"/>
    <w:rsid w:val="00F90D49"/>
    <w:rsid w:val="00F91285"/>
    <w:rsid w:val="00F913B6"/>
    <w:rsid w:val="00F921C0"/>
    <w:rsid w:val="00F925FF"/>
    <w:rsid w:val="00F927A4"/>
    <w:rsid w:val="00F932C9"/>
    <w:rsid w:val="00F93324"/>
    <w:rsid w:val="00F9346C"/>
    <w:rsid w:val="00F93B5B"/>
    <w:rsid w:val="00F946E6"/>
    <w:rsid w:val="00F95C47"/>
    <w:rsid w:val="00F95C8A"/>
    <w:rsid w:val="00F9669F"/>
    <w:rsid w:val="00F96806"/>
    <w:rsid w:val="00F968E2"/>
    <w:rsid w:val="00F96B36"/>
    <w:rsid w:val="00F96DD4"/>
    <w:rsid w:val="00F96F51"/>
    <w:rsid w:val="00F972E8"/>
    <w:rsid w:val="00F97FF0"/>
    <w:rsid w:val="00FA06E7"/>
    <w:rsid w:val="00FA09F9"/>
    <w:rsid w:val="00FA12B8"/>
    <w:rsid w:val="00FA17A5"/>
    <w:rsid w:val="00FA21A6"/>
    <w:rsid w:val="00FA2880"/>
    <w:rsid w:val="00FA2CFD"/>
    <w:rsid w:val="00FA2F61"/>
    <w:rsid w:val="00FA354F"/>
    <w:rsid w:val="00FA3F9C"/>
    <w:rsid w:val="00FA4A05"/>
    <w:rsid w:val="00FA52BD"/>
    <w:rsid w:val="00FA5642"/>
    <w:rsid w:val="00FA6335"/>
    <w:rsid w:val="00FA6AB4"/>
    <w:rsid w:val="00FA6DE1"/>
    <w:rsid w:val="00FA717D"/>
    <w:rsid w:val="00FB03A7"/>
    <w:rsid w:val="00FB167C"/>
    <w:rsid w:val="00FB19A4"/>
    <w:rsid w:val="00FB2E76"/>
    <w:rsid w:val="00FB3E38"/>
    <w:rsid w:val="00FB40C7"/>
    <w:rsid w:val="00FB49E4"/>
    <w:rsid w:val="00FB50F2"/>
    <w:rsid w:val="00FB5991"/>
    <w:rsid w:val="00FB5DF0"/>
    <w:rsid w:val="00FB67D1"/>
    <w:rsid w:val="00FB6D57"/>
    <w:rsid w:val="00FB7D26"/>
    <w:rsid w:val="00FC1012"/>
    <w:rsid w:val="00FC1068"/>
    <w:rsid w:val="00FC109A"/>
    <w:rsid w:val="00FC1115"/>
    <w:rsid w:val="00FC127C"/>
    <w:rsid w:val="00FC1827"/>
    <w:rsid w:val="00FC2183"/>
    <w:rsid w:val="00FC230A"/>
    <w:rsid w:val="00FC245F"/>
    <w:rsid w:val="00FC3016"/>
    <w:rsid w:val="00FC323B"/>
    <w:rsid w:val="00FC3381"/>
    <w:rsid w:val="00FC3788"/>
    <w:rsid w:val="00FC3868"/>
    <w:rsid w:val="00FC3D2B"/>
    <w:rsid w:val="00FC4360"/>
    <w:rsid w:val="00FC4509"/>
    <w:rsid w:val="00FC4AC5"/>
    <w:rsid w:val="00FC4BC0"/>
    <w:rsid w:val="00FC52C6"/>
    <w:rsid w:val="00FC5CCB"/>
    <w:rsid w:val="00FC5FE3"/>
    <w:rsid w:val="00FC696A"/>
    <w:rsid w:val="00FC710A"/>
    <w:rsid w:val="00FD0199"/>
    <w:rsid w:val="00FD0638"/>
    <w:rsid w:val="00FD0959"/>
    <w:rsid w:val="00FD0FC1"/>
    <w:rsid w:val="00FD1432"/>
    <w:rsid w:val="00FD169D"/>
    <w:rsid w:val="00FD1CD1"/>
    <w:rsid w:val="00FD3405"/>
    <w:rsid w:val="00FD4A1E"/>
    <w:rsid w:val="00FD4BD8"/>
    <w:rsid w:val="00FD70CB"/>
    <w:rsid w:val="00FD7613"/>
    <w:rsid w:val="00FD7AFB"/>
    <w:rsid w:val="00FE08D5"/>
    <w:rsid w:val="00FE0B33"/>
    <w:rsid w:val="00FE1236"/>
    <w:rsid w:val="00FE1B91"/>
    <w:rsid w:val="00FE1CEA"/>
    <w:rsid w:val="00FE2070"/>
    <w:rsid w:val="00FE218A"/>
    <w:rsid w:val="00FE233F"/>
    <w:rsid w:val="00FE3147"/>
    <w:rsid w:val="00FE42DD"/>
    <w:rsid w:val="00FE434E"/>
    <w:rsid w:val="00FE4879"/>
    <w:rsid w:val="00FE4D54"/>
    <w:rsid w:val="00FE5C53"/>
    <w:rsid w:val="00FE69F3"/>
    <w:rsid w:val="00FE6A7D"/>
    <w:rsid w:val="00FE73AD"/>
    <w:rsid w:val="00FE752A"/>
    <w:rsid w:val="00FE7A53"/>
    <w:rsid w:val="00FF06EF"/>
    <w:rsid w:val="00FF0927"/>
    <w:rsid w:val="00FF0BB8"/>
    <w:rsid w:val="00FF0E11"/>
    <w:rsid w:val="00FF1462"/>
    <w:rsid w:val="00FF1D71"/>
    <w:rsid w:val="00FF3CC0"/>
    <w:rsid w:val="00FF3DE0"/>
    <w:rsid w:val="00FF55FF"/>
    <w:rsid w:val="00FF5841"/>
    <w:rsid w:val="00FF68AC"/>
    <w:rsid w:val="00FF6C5D"/>
    <w:rsid w:val="00FF7125"/>
    <w:rsid w:val="00FF782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D075AB"/>
  <w15:docId w15:val="{84EF3AA0-48C0-4CE9-8D43-E6CC7D614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2"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1D8"/>
    <w:pPr>
      <w:spacing w:after="227" w:line="298" w:lineRule="atLeast"/>
    </w:pPr>
    <w:rPr>
      <w:rFonts w:ascii="Lato Light" w:hAnsi="Lato Light"/>
      <w:color w:val="000000"/>
      <w:sz w:val="21"/>
      <w:szCs w:val="24"/>
      <w:lang w:val="en-US"/>
    </w:rPr>
  </w:style>
  <w:style w:type="paragraph" w:styleId="Heading1">
    <w:name w:val="heading 1"/>
    <w:basedOn w:val="Normal"/>
    <w:next w:val="Normal"/>
    <w:link w:val="Heading1Char"/>
    <w:qFormat/>
    <w:rsid w:val="00B61315"/>
    <w:pPr>
      <w:keepNext/>
      <w:spacing w:after="120" w:line="300" w:lineRule="atLeast"/>
      <w:outlineLvl w:val="0"/>
    </w:pPr>
    <w:rPr>
      <w:rFonts w:cs="Arial"/>
      <w:b/>
      <w:bCs/>
      <w:color w:val="000000" w:themeColor="text2"/>
      <w:kern w:val="32"/>
      <w:sz w:val="28"/>
      <w:szCs w:val="32"/>
    </w:rPr>
  </w:style>
  <w:style w:type="paragraph" w:styleId="Heading2">
    <w:name w:val="heading 2"/>
    <w:basedOn w:val="Normal"/>
    <w:next w:val="Normal"/>
    <w:link w:val="Heading2Char"/>
    <w:qFormat/>
    <w:rsid w:val="00B61315"/>
    <w:pPr>
      <w:keepNext/>
      <w:spacing w:before="240" w:after="120"/>
      <w:outlineLvl w:val="1"/>
    </w:pPr>
    <w:rPr>
      <w:rFonts w:cs="Arial"/>
      <w:b/>
      <w:bCs/>
      <w:iCs/>
      <w:color w:val="000000" w:themeColor="text2"/>
      <w:sz w:val="24"/>
    </w:rPr>
  </w:style>
  <w:style w:type="paragraph" w:styleId="Heading3">
    <w:name w:val="heading 3"/>
    <w:basedOn w:val="Normal"/>
    <w:next w:val="Normal"/>
    <w:link w:val="Heading3Char"/>
    <w:qFormat/>
    <w:rsid w:val="00B61315"/>
    <w:pPr>
      <w:keepNext/>
      <w:spacing w:before="240" w:after="120"/>
      <w:outlineLvl w:val="2"/>
    </w:pPr>
    <w:rPr>
      <w:rFonts w:cs="Arial"/>
      <w:b/>
      <w:bCs/>
      <w:color w:val="000000" w:themeColor="text2"/>
    </w:rPr>
  </w:style>
  <w:style w:type="paragraph" w:styleId="Heading4">
    <w:name w:val="heading 4"/>
    <w:basedOn w:val="Normal"/>
    <w:next w:val="Normal"/>
    <w:qFormat/>
    <w:rsid w:val="00B61315"/>
    <w:pPr>
      <w:spacing w:before="240" w:after="120"/>
      <w:outlineLvl w:val="3"/>
    </w:pPr>
    <w:rPr>
      <w:b/>
      <w:bCs/>
      <w:color w:val="000000" w:themeColor="text2"/>
      <w:szCs w:val="28"/>
    </w:rPr>
  </w:style>
  <w:style w:type="paragraph" w:styleId="Heading5">
    <w:name w:val="heading 5"/>
    <w:basedOn w:val="Normal"/>
    <w:next w:val="Normal"/>
    <w:semiHidden/>
    <w:rsid w:val="001B253C"/>
    <w:pPr>
      <w:outlineLvl w:val="4"/>
    </w:pPr>
    <w:rPr>
      <w:rFonts w:asciiTheme="majorHAnsi" w:hAnsiTheme="majorHAnsi"/>
      <w:b/>
      <w:bCs/>
      <w:iCs/>
      <w:szCs w:val="26"/>
    </w:rPr>
  </w:style>
  <w:style w:type="paragraph" w:styleId="Heading6">
    <w:name w:val="heading 6"/>
    <w:basedOn w:val="Normal"/>
    <w:next w:val="Normal"/>
    <w:link w:val="Heading6Char"/>
    <w:semiHidden/>
    <w:rsid w:val="00AE47B3"/>
    <w:pPr>
      <w:tabs>
        <w:tab w:val="left" w:pos="4253"/>
      </w:tabs>
      <w:spacing w:line="240" w:lineRule="auto"/>
      <w:ind w:left="4253" w:hanging="567"/>
      <w:jc w:val="both"/>
      <w:outlineLvl w:val="5"/>
    </w:pPr>
    <w:rPr>
      <w:b/>
      <w:lang w:eastAsia="en-US"/>
    </w:rPr>
  </w:style>
  <w:style w:type="paragraph" w:styleId="Heading7">
    <w:name w:val="heading 7"/>
    <w:basedOn w:val="Normal"/>
    <w:next w:val="Normal"/>
    <w:link w:val="Heading7Char"/>
    <w:semiHidden/>
    <w:rsid w:val="00AE47B3"/>
    <w:pPr>
      <w:tabs>
        <w:tab w:val="num" w:pos="4820"/>
      </w:tabs>
      <w:spacing w:line="240" w:lineRule="auto"/>
      <w:ind w:left="4820" w:hanging="567"/>
      <w:jc w:val="both"/>
      <w:outlineLvl w:val="6"/>
    </w:pPr>
    <w:rPr>
      <w:b/>
      <w:lang w:eastAsia="en-US"/>
    </w:rPr>
  </w:style>
  <w:style w:type="paragraph" w:styleId="Heading8">
    <w:name w:val="heading 8"/>
    <w:basedOn w:val="Normal"/>
    <w:next w:val="Normal"/>
    <w:link w:val="Heading8Char"/>
    <w:semiHidden/>
    <w:rsid w:val="00AE47B3"/>
    <w:pPr>
      <w:tabs>
        <w:tab w:val="num" w:pos="5387"/>
      </w:tabs>
      <w:spacing w:line="240" w:lineRule="auto"/>
      <w:ind w:left="5387" w:hanging="567"/>
      <w:jc w:val="both"/>
      <w:outlineLvl w:val="7"/>
    </w:pPr>
    <w:rPr>
      <w:b/>
      <w:lang w:eastAsia="en-US"/>
    </w:rPr>
  </w:style>
  <w:style w:type="paragraph" w:styleId="Heading9">
    <w:name w:val="heading 9"/>
    <w:basedOn w:val="Normal"/>
    <w:next w:val="Normal"/>
    <w:link w:val="Heading9Char"/>
    <w:semiHidden/>
    <w:rsid w:val="00AE47B3"/>
    <w:pPr>
      <w:tabs>
        <w:tab w:val="num" w:pos="5954"/>
      </w:tabs>
      <w:spacing w:line="240" w:lineRule="auto"/>
      <w:ind w:left="5954" w:hanging="567"/>
      <w:jc w:val="both"/>
      <w:outlineLvl w:val="8"/>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96DD4"/>
    <w:pPr>
      <w:spacing w:line="360" w:lineRule="auto"/>
    </w:pPr>
    <w:rPr>
      <w:rFonts w:ascii="Arial" w:hAnsi="Arial"/>
    </w:rPr>
    <w:tblPr/>
  </w:style>
  <w:style w:type="paragraph" w:styleId="Header">
    <w:name w:val="header"/>
    <w:basedOn w:val="Normal"/>
    <w:rsid w:val="00C22088"/>
    <w:pPr>
      <w:tabs>
        <w:tab w:val="center" w:pos="4153"/>
        <w:tab w:val="right" w:pos="8306"/>
      </w:tabs>
      <w:spacing w:after="0" w:line="240" w:lineRule="auto"/>
    </w:pPr>
    <w:rPr>
      <w:sz w:val="16"/>
    </w:rPr>
  </w:style>
  <w:style w:type="paragraph" w:styleId="Footer">
    <w:name w:val="footer"/>
    <w:aliases w:val="5 PG Footer"/>
    <w:basedOn w:val="Normal"/>
    <w:link w:val="FooterChar"/>
    <w:uiPriority w:val="99"/>
    <w:qFormat/>
    <w:rsid w:val="00910DEC"/>
    <w:pPr>
      <w:tabs>
        <w:tab w:val="right" w:pos="8760"/>
      </w:tabs>
      <w:spacing w:after="0" w:line="240" w:lineRule="auto"/>
    </w:pPr>
    <w:rPr>
      <w:color w:val="000000" w:themeColor="text2"/>
      <w:sz w:val="18"/>
      <w:szCs w:val="14"/>
    </w:rPr>
  </w:style>
  <w:style w:type="paragraph" w:customStyle="1" w:styleId="Address">
    <w:name w:val="Address"/>
    <w:basedOn w:val="Normal"/>
    <w:rsid w:val="00174ADF"/>
    <w:pPr>
      <w:adjustRightInd w:val="0"/>
      <w:snapToGrid w:val="0"/>
      <w:spacing w:after="907" w:line="282" w:lineRule="atLeast"/>
      <w:contextualSpacing/>
    </w:pPr>
    <w:rPr>
      <w:rFonts w:eastAsia="MS Mincho"/>
      <w:color w:val="000000" w:themeColor="text1"/>
      <w:szCs w:val="20"/>
      <w:lang w:eastAsia="ja-JP"/>
    </w:rPr>
  </w:style>
  <w:style w:type="character" w:styleId="PageNumber">
    <w:name w:val="page number"/>
    <w:basedOn w:val="DefaultParagraphFont"/>
    <w:rsid w:val="00AE47B3"/>
    <w:rPr>
      <w:sz w:val="16"/>
    </w:rPr>
  </w:style>
  <w:style w:type="paragraph" w:customStyle="1" w:styleId="SenderName">
    <w:name w:val="Sender Name"/>
    <w:basedOn w:val="Normal"/>
    <w:qFormat/>
    <w:rsid w:val="00A47202"/>
    <w:pPr>
      <w:contextualSpacing/>
    </w:pPr>
  </w:style>
  <w:style w:type="paragraph" w:customStyle="1" w:styleId="Subject">
    <w:name w:val="Subject"/>
    <w:basedOn w:val="Normal"/>
    <w:next w:val="Normal"/>
    <w:qFormat/>
    <w:rsid w:val="00174ADF"/>
    <w:pPr>
      <w:spacing w:after="454"/>
      <w:contextualSpacing/>
    </w:pPr>
    <w:rPr>
      <w:b/>
      <w:bCs/>
    </w:rPr>
  </w:style>
  <w:style w:type="character" w:styleId="PlaceholderText">
    <w:name w:val="Placeholder Text"/>
    <w:basedOn w:val="DefaultParagraphFont"/>
    <w:uiPriority w:val="99"/>
    <w:semiHidden/>
    <w:rsid w:val="003D2982"/>
    <w:rPr>
      <w:color w:val="FF0000"/>
    </w:rPr>
  </w:style>
  <w:style w:type="paragraph" w:styleId="BalloonText">
    <w:name w:val="Balloon Text"/>
    <w:basedOn w:val="Normal"/>
    <w:link w:val="BalloonTextChar"/>
    <w:semiHidden/>
    <w:rsid w:val="007756B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413BC"/>
    <w:rPr>
      <w:rFonts w:ascii="Tahoma" w:hAnsi="Tahoma" w:cs="Tahoma"/>
      <w:sz w:val="16"/>
      <w:szCs w:val="16"/>
    </w:rPr>
  </w:style>
  <w:style w:type="paragraph" w:customStyle="1" w:styleId="SenderAddress">
    <w:name w:val="Sender Address"/>
    <w:basedOn w:val="Normal"/>
    <w:qFormat/>
    <w:rsid w:val="00CF5BD9"/>
    <w:pPr>
      <w:spacing w:line="198" w:lineRule="atLeast"/>
    </w:pPr>
    <w:rPr>
      <w:sz w:val="15"/>
    </w:rPr>
  </w:style>
  <w:style w:type="character" w:customStyle="1" w:styleId="Heading6Char">
    <w:name w:val="Heading 6 Char"/>
    <w:basedOn w:val="DefaultParagraphFont"/>
    <w:link w:val="Heading6"/>
    <w:semiHidden/>
    <w:rsid w:val="00C1601D"/>
    <w:rPr>
      <w:rFonts w:ascii="Arial" w:eastAsia="MS Mincho" w:hAnsi="Arial"/>
      <w:b/>
      <w:lang w:eastAsia="en-US"/>
    </w:rPr>
  </w:style>
  <w:style w:type="character" w:customStyle="1" w:styleId="Heading7Char">
    <w:name w:val="Heading 7 Char"/>
    <w:basedOn w:val="DefaultParagraphFont"/>
    <w:link w:val="Heading7"/>
    <w:semiHidden/>
    <w:rsid w:val="00C1601D"/>
    <w:rPr>
      <w:rFonts w:ascii="Arial" w:eastAsia="MS Mincho" w:hAnsi="Arial"/>
      <w:b/>
      <w:lang w:eastAsia="en-US"/>
    </w:rPr>
  </w:style>
  <w:style w:type="character" w:customStyle="1" w:styleId="Heading8Char">
    <w:name w:val="Heading 8 Char"/>
    <w:basedOn w:val="DefaultParagraphFont"/>
    <w:link w:val="Heading8"/>
    <w:semiHidden/>
    <w:rsid w:val="00C1601D"/>
    <w:rPr>
      <w:rFonts w:ascii="Arial" w:eastAsia="MS Mincho" w:hAnsi="Arial"/>
      <w:b/>
      <w:lang w:eastAsia="en-US"/>
    </w:rPr>
  </w:style>
  <w:style w:type="character" w:customStyle="1" w:styleId="Heading9Char">
    <w:name w:val="Heading 9 Char"/>
    <w:basedOn w:val="DefaultParagraphFont"/>
    <w:link w:val="Heading9"/>
    <w:semiHidden/>
    <w:rsid w:val="00C1601D"/>
    <w:rPr>
      <w:rFonts w:ascii="Arial" w:eastAsia="MS Mincho" w:hAnsi="Arial"/>
      <w:b/>
      <w:lang w:eastAsia="en-US"/>
    </w:rPr>
  </w:style>
  <w:style w:type="paragraph" w:styleId="ListBullet">
    <w:name w:val="List Bullet"/>
    <w:basedOn w:val="Normal"/>
    <w:uiPriority w:val="1"/>
    <w:qFormat/>
    <w:rsid w:val="00BD1F0A"/>
    <w:pPr>
      <w:numPr>
        <w:numId w:val="7"/>
      </w:numPr>
    </w:pPr>
  </w:style>
  <w:style w:type="numbering" w:customStyle="1" w:styleId="NumberedHeadings">
    <w:name w:val="Numbered Headings"/>
    <w:uiPriority w:val="99"/>
    <w:rsid w:val="00212BA6"/>
    <w:pPr>
      <w:numPr>
        <w:numId w:val="1"/>
      </w:numPr>
    </w:pPr>
  </w:style>
  <w:style w:type="paragraph" w:styleId="ListNumber">
    <w:name w:val="List Number"/>
    <w:basedOn w:val="Normal"/>
    <w:uiPriority w:val="2"/>
    <w:qFormat/>
    <w:rsid w:val="00BD1F0A"/>
    <w:pPr>
      <w:numPr>
        <w:numId w:val="6"/>
      </w:numPr>
      <w:ind w:left="357" w:hanging="357"/>
    </w:pPr>
  </w:style>
  <w:style w:type="paragraph" w:styleId="ListBullet5">
    <w:name w:val="List Bullet 5"/>
    <w:basedOn w:val="Normal"/>
    <w:semiHidden/>
    <w:rsid w:val="005B525A"/>
    <w:pPr>
      <w:contextualSpacing/>
    </w:pPr>
  </w:style>
  <w:style w:type="paragraph" w:styleId="ListNumber4">
    <w:name w:val="List Number 4"/>
    <w:basedOn w:val="Normal"/>
    <w:semiHidden/>
    <w:rsid w:val="00BD6E32"/>
    <w:pPr>
      <w:numPr>
        <w:ilvl w:val="3"/>
        <w:numId w:val="3"/>
      </w:numPr>
      <w:contextualSpacing/>
    </w:pPr>
  </w:style>
  <w:style w:type="paragraph" w:styleId="ListNumber5">
    <w:name w:val="List Number 5"/>
    <w:basedOn w:val="Normal"/>
    <w:semiHidden/>
    <w:rsid w:val="00BD6E32"/>
    <w:pPr>
      <w:numPr>
        <w:ilvl w:val="4"/>
        <w:numId w:val="3"/>
      </w:numPr>
      <w:contextualSpacing/>
    </w:pPr>
  </w:style>
  <w:style w:type="paragraph" w:styleId="Subtitle">
    <w:name w:val="Subtitle"/>
    <w:basedOn w:val="Normal"/>
    <w:next w:val="Normal"/>
    <w:link w:val="SubtitleChar"/>
    <w:semiHidden/>
    <w:rsid w:val="00FC230A"/>
    <w:pPr>
      <w:framePr w:w="10206" w:vSpace="567" w:wrap="notBeside" w:vAnchor="text" w:hAnchor="text" w:y="1"/>
      <w:numPr>
        <w:ilvl w:val="1"/>
      </w:numPr>
      <w:spacing w:after="240"/>
    </w:pPr>
    <w:rPr>
      <w:rFonts w:asciiTheme="majorHAnsi" w:eastAsiaTheme="majorEastAsia" w:hAnsiTheme="majorHAnsi" w:cstheme="majorBidi"/>
      <w:iCs/>
      <w:color w:val="003DA5"/>
      <w:sz w:val="24"/>
    </w:rPr>
  </w:style>
  <w:style w:type="numbering" w:customStyle="1" w:styleId="BULLETS">
    <w:name w:val="BULLETS"/>
    <w:uiPriority w:val="99"/>
    <w:rsid w:val="001B253C"/>
    <w:pPr>
      <w:numPr>
        <w:numId w:val="2"/>
      </w:numPr>
    </w:pPr>
  </w:style>
  <w:style w:type="character" w:customStyle="1" w:styleId="Heading3Char">
    <w:name w:val="Heading 3 Char"/>
    <w:basedOn w:val="DefaultParagraphFont"/>
    <w:link w:val="Heading3"/>
    <w:rsid w:val="00B61315"/>
    <w:rPr>
      <w:rFonts w:ascii="Lato Light" w:hAnsi="Lato Light" w:cs="Arial"/>
      <w:b/>
      <w:bCs/>
      <w:color w:val="000000" w:themeColor="text2"/>
      <w:sz w:val="22"/>
      <w:szCs w:val="24"/>
    </w:rPr>
  </w:style>
  <w:style w:type="paragraph" w:styleId="Title">
    <w:name w:val="Title"/>
    <w:basedOn w:val="Normal"/>
    <w:next w:val="Subtitle"/>
    <w:link w:val="TitleChar"/>
    <w:semiHidden/>
    <w:rsid w:val="00FC230A"/>
    <w:pPr>
      <w:framePr w:w="10206" w:vSpace="567" w:wrap="notBeside" w:vAnchor="text" w:hAnchor="text" w:y="1"/>
      <w:spacing w:after="120" w:line="240" w:lineRule="auto"/>
      <w:contextualSpacing/>
    </w:pPr>
    <w:rPr>
      <w:rFonts w:asciiTheme="majorHAnsi" w:eastAsiaTheme="majorEastAsia" w:hAnsiTheme="majorHAnsi" w:cstheme="majorBidi"/>
      <w:b/>
      <w:color w:val="003DA5"/>
      <w:spacing w:val="5"/>
      <w:kern w:val="28"/>
      <w:sz w:val="46"/>
      <w:szCs w:val="52"/>
    </w:rPr>
  </w:style>
  <w:style w:type="character" w:customStyle="1" w:styleId="Heading1Char">
    <w:name w:val="Heading 1 Char"/>
    <w:basedOn w:val="DefaultParagraphFont"/>
    <w:link w:val="Heading1"/>
    <w:rsid w:val="00B61315"/>
    <w:rPr>
      <w:rFonts w:ascii="Lato Light" w:hAnsi="Lato Light" w:cs="Arial"/>
      <w:b/>
      <w:bCs/>
      <w:color w:val="000000" w:themeColor="text2"/>
      <w:kern w:val="32"/>
      <w:sz w:val="28"/>
      <w:szCs w:val="32"/>
    </w:rPr>
  </w:style>
  <w:style w:type="character" w:customStyle="1" w:styleId="TitleChar">
    <w:name w:val="Title Char"/>
    <w:basedOn w:val="DefaultParagraphFont"/>
    <w:link w:val="Title"/>
    <w:semiHidden/>
    <w:rsid w:val="00853832"/>
    <w:rPr>
      <w:rFonts w:asciiTheme="majorHAnsi" w:eastAsiaTheme="majorEastAsia" w:hAnsiTheme="majorHAnsi" w:cstheme="majorBidi"/>
      <w:b/>
      <w:color w:val="003DA5"/>
      <w:spacing w:val="5"/>
      <w:kern w:val="28"/>
      <w:sz w:val="46"/>
      <w:szCs w:val="52"/>
    </w:rPr>
  </w:style>
  <w:style w:type="character" w:customStyle="1" w:styleId="SubtitleChar">
    <w:name w:val="Subtitle Char"/>
    <w:basedOn w:val="DefaultParagraphFont"/>
    <w:link w:val="Subtitle"/>
    <w:semiHidden/>
    <w:rsid w:val="00853832"/>
    <w:rPr>
      <w:rFonts w:asciiTheme="majorHAnsi" w:eastAsiaTheme="majorEastAsia" w:hAnsiTheme="majorHAnsi" w:cstheme="majorBidi"/>
      <w:iCs/>
      <w:color w:val="003DA5"/>
      <w:sz w:val="24"/>
      <w:szCs w:val="24"/>
    </w:rPr>
  </w:style>
  <w:style w:type="character" w:customStyle="1" w:styleId="Heading2Char">
    <w:name w:val="Heading 2 Char"/>
    <w:basedOn w:val="DefaultParagraphFont"/>
    <w:link w:val="Heading2"/>
    <w:rsid w:val="00B61315"/>
    <w:rPr>
      <w:rFonts w:ascii="Lato Light" w:hAnsi="Lato Light" w:cs="Arial"/>
      <w:b/>
      <w:bCs/>
      <w:iCs/>
      <w:color w:val="000000" w:themeColor="text2"/>
      <w:sz w:val="24"/>
      <w:szCs w:val="24"/>
    </w:rPr>
  </w:style>
  <w:style w:type="numbering" w:customStyle="1" w:styleId="Bullets0">
    <w:name w:val="Bullets"/>
    <w:uiPriority w:val="99"/>
    <w:rsid w:val="00AE42EE"/>
    <w:pPr>
      <w:numPr>
        <w:numId w:val="4"/>
      </w:numPr>
    </w:pPr>
  </w:style>
  <w:style w:type="table" w:customStyle="1" w:styleId="VCTables">
    <w:name w:val="VC Tables"/>
    <w:basedOn w:val="TableNormal"/>
    <w:uiPriority w:val="99"/>
    <w:rsid w:val="00F335A8"/>
    <w:rPr>
      <w:rFonts w:asciiTheme="minorHAnsi" w:eastAsia="MS Mincho" w:hAnsiTheme="minorHAnsi"/>
      <w:color w:val="B58150" w:themeColor="background2"/>
      <w:lang w:val="en-GB" w:eastAsia="en-GB"/>
    </w:rPr>
    <w:tblPr>
      <w:tblStyleRowBandSize w:val="1"/>
      <w:tblStyleColBandSize w:val="1"/>
      <w:tblBorders>
        <w:top w:val="single" w:sz="8" w:space="0" w:color="DAD9D3"/>
        <w:bottom w:val="single" w:sz="18" w:space="0" w:color="57554F"/>
        <w:insideH w:val="single" w:sz="8" w:space="0" w:color="DAD9D3"/>
      </w:tblBorders>
      <w:tblCellMar>
        <w:top w:w="57" w:type="dxa"/>
        <w:left w:w="57" w:type="dxa"/>
        <w:bottom w:w="57" w:type="dxa"/>
        <w:right w:w="57" w:type="dxa"/>
      </w:tblCellMar>
    </w:tblPr>
    <w:tblStylePr w:type="firstRow">
      <w:pPr>
        <w:jc w:val="left"/>
      </w:pPr>
      <w:rPr>
        <w:b/>
      </w:rPr>
      <w:tblPr/>
      <w:tcPr>
        <w:tcBorders>
          <w:top w:val="nil"/>
          <w:left w:val="nil"/>
          <w:bottom w:val="single" w:sz="18" w:space="0" w:color="57554F"/>
          <w:right w:val="nil"/>
          <w:insideH w:val="nil"/>
          <w:insideV w:val="nil"/>
          <w:tl2br w:val="nil"/>
          <w:tr2bl w:val="nil"/>
        </w:tcBorders>
      </w:tcPr>
    </w:tblStylePr>
    <w:tblStylePr w:type="lastRow">
      <w:rPr>
        <w:b/>
        <w:color w:val="000000" w:themeColor="text2"/>
      </w:rPr>
      <w:tblPr/>
      <w:tcPr>
        <w:tcBorders>
          <w:top w:val="single" w:sz="8" w:space="0" w:color="B58150" w:themeColor="background2"/>
          <w:bottom w:val="single" w:sz="8" w:space="0" w:color="B58150" w:themeColor="background2"/>
        </w:tcBorders>
      </w:tcPr>
    </w:tblStylePr>
    <w:tblStylePr w:type="band1Vert">
      <w:tblPr/>
      <w:tcPr>
        <w:shd w:val="clear" w:color="auto" w:fill="EDECE5"/>
      </w:tcPr>
    </w:tblStylePr>
    <w:tblStylePr w:type="band1Horz">
      <w:tblPr/>
      <w:tcPr>
        <w:shd w:val="clear" w:color="auto" w:fill="EDECE5"/>
      </w:tcPr>
    </w:tblStylePr>
    <w:tblStylePr w:type="band2Horz">
      <w:tblPr/>
      <w:tcPr>
        <w:shd w:val="clear" w:color="auto" w:fill="FFFFFF" w:themeFill="background1"/>
      </w:tcPr>
    </w:tblStylePr>
  </w:style>
  <w:style w:type="numbering" w:customStyle="1" w:styleId="ListNumbers">
    <w:name w:val="List Numbers"/>
    <w:uiPriority w:val="99"/>
    <w:rsid w:val="00A35128"/>
    <w:pPr>
      <w:numPr>
        <w:numId w:val="5"/>
      </w:numPr>
    </w:pPr>
  </w:style>
  <w:style w:type="table" w:styleId="TableSubtle2">
    <w:name w:val="Table Subtle 2"/>
    <w:basedOn w:val="TableNormal"/>
    <w:rsid w:val="003D2982"/>
    <w:pPr>
      <w:adjustRightInd w:val="0"/>
      <w:snapToGrid w:val="0"/>
      <w:spacing w:after="120" w:line="240" w:lineRule="atLeast"/>
    </w:pPr>
    <w:rPr>
      <w:rFonts w:eastAsia="MS Mincho"/>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semiHidden/>
    <w:rsid w:val="00A23626"/>
    <w:pPr>
      <w:spacing w:before="100" w:beforeAutospacing="1" w:after="100" w:afterAutospacing="1" w:line="240" w:lineRule="auto"/>
    </w:pPr>
    <w:rPr>
      <w:rFonts w:ascii="Times New Roman" w:eastAsiaTheme="minorEastAsia" w:hAnsi="Times New Roman"/>
      <w:color w:val="auto"/>
      <w:sz w:val="24"/>
    </w:rPr>
  </w:style>
  <w:style w:type="table" w:customStyle="1" w:styleId="LayoutGrid">
    <w:name w:val="Layout Grid"/>
    <w:basedOn w:val="TableNormal"/>
    <w:uiPriority w:val="99"/>
    <w:rsid w:val="004F5DAD"/>
    <w:rPr>
      <w:rFonts w:asciiTheme="minorHAnsi" w:hAnsiTheme="minorHAnsi"/>
    </w:rPr>
    <w:tblPr>
      <w:tblCellMar>
        <w:left w:w="0" w:type="dxa"/>
        <w:right w:w="0" w:type="dxa"/>
      </w:tblCellMar>
    </w:tblPr>
  </w:style>
  <w:style w:type="character" w:styleId="Hyperlink">
    <w:name w:val="Hyperlink"/>
    <w:basedOn w:val="DefaultParagraphFont"/>
    <w:uiPriority w:val="99"/>
    <w:semiHidden/>
    <w:rsid w:val="00E20320"/>
    <w:rPr>
      <w:color w:val="5B8AB7" w:themeColor="accent2" w:themeShade="BF"/>
      <w:u w:val="single"/>
    </w:rPr>
  </w:style>
  <w:style w:type="paragraph" w:customStyle="1" w:styleId="Pagedate">
    <w:name w:val="Page date"/>
    <w:basedOn w:val="Normal"/>
    <w:qFormat/>
    <w:rsid w:val="00174ADF"/>
    <w:pPr>
      <w:spacing w:after="907"/>
    </w:pPr>
  </w:style>
  <w:style w:type="paragraph" w:styleId="Date">
    <w:name w:val="Date"/>
    <w:basedOn w:val="Normal"/>
    <w:next w:val="Normal"/>
    <w:link w:val="DateChar"/>
    <w:rsid w:val="00A8105B"/>
  </w:style>
  <w:style w:type="character" w:customStyle="1" w:styleId="DateChar">
    <w:name w:val="Date Char"/>
    <w:basedOn w:val="DefaultParagraphFont"/>
    <w:link w:val="Date"/>
    <w:rsid w:val="00A8105B"/>
    <w:rPr>
      <w:rFonts w:ascii="Lato Light" w:hAnsi="Lato Light"/>
      <w:color w:val="000000"/>
      <w:sz w:val="22"/>
      <w:szCs w:val="24"/>
      <w:lang w:val="en-US"/>
    </w:rPr>
  </w:style>
  <w:style w:type="character" w:styleId="CommentReference">
    <w:name w:val="annotation reference"/>
    <w:basedOn w:val="DefaultParagraphFont"/>
    <w:uiPriority w:val="99"/>
    <w:rsid w:val="00F47C5D"/>
    <w:rPr>
      <w:sz w:val="16"/>
      <w:szCs w:val="16"/>
    </w:rPr>
  </w:style>
  <w:style w:type="paragraph" w:styleId="CommentText">
    <w:name w:val="annotation text"/>
    <w:basedOn w:val="Normal"/>
    <w:link w:val="CommentTextChar"/>
    <w:uiPriority w:val="99"/>
    <w:rsid w:val="00F47C5D"/>
    <w:pPr>
      <w:spacing w:line="240" w:lineRule="auto"/>
    </w:pPr>
    <w:rPr>
      <w:sz w:val="20"/>
      <w:szCs w:val="20"/>
    </w:rPr>
  </w:style>
  <w:style w:type="character" w:customStyle="1" w:styleId="CommentTextChar">
    <w:name w:val="Comment Text Char"/>
    <w:basedOn w:val="DefaultParagraphFont"/>
    <w:link w:val="CommentText"/>
    <w:uiPriority w:val="99"/>
    <w:rsid w:val="00F47C5D"/>
    <w:rPr>
      <w:rFonts w:ascii="Lato Light" w:hAnsi="Lato Light"/>
      <w:color w:val="000000"/>
      <w:lang w:val="en-US"/>
    </w:rPr>
  </w:style>
  <w:style w:type="paragraph" w:styleId="CommentSubject">
    <w:name w:val="annotation subject"/>
    <w:basedOn w:val="CommentText"/>
    <w:next w:val="CommentText"/>
    <w:link w:val="CommentSubjectChar"/>
    <w:rsid w:val="00F47C5D"/>
    <w:rPr>
      <w:b/>
      <w:bCs/>
    </w:rPr>
  </w:style>
  <w:style w:type="character" w:customStyle="1" w:styleId="CommentSubjectChar">
    <w:name w:val="Comment Subject Char"/>
    <w:basedOn w:val="CommentTextChar"/>
    <w:link w:val="CommentSubject"/>
    <w:rsid w:val="00F47C5D"/>
    <w:rPr>
      <w:rFonts w:ascii="Lato Light" w:hAnsi="Lato Light"/>
      <w:b/>
      <w:bCs/>
      <w:color w:val="000000"/>
      <w:lang w:val="en-US"/>
    </w:rPr>
  </w:style>
  <w:style w:type="character" w:customStyle="1" w:styleId="FooterChar">
    <w:name w:val="Footer Char"/>
    <w:aliases w:val="5 PG Footer Char"/>
    <w:basedOn w:val="DefaultParagraphFont"/>
    <w:link w:val="Footer"/>
    <w:uiPriority w:val="99"/>
    <w:rsid w:val="003E7807"/>
    <w:rPr>
      <w:rFonts w:ascii="Lato Light" w:hAnsi="Lato Light"/>
      <w:color w:val="000000" w:themeColor="text2"/>
      <w:sz w:val="18"/>
      <w:szCs w:val="14"/>
      <w:lang w:val="en-US"/>
    </w:rPr>
  </w:style>
  <w:style w:type="paragraph" w:customStyle="1" w:styleId="4PGFooterentity">
    <w:name w:val="4 PG Footer entity"/>
    <w:basedOn w:val="Footer"/>
    <w:link w:val="4PGFooterentityChar"/>
    <w:qFormat/>
    <w:rsid w:val="003E7807"/>
    <w:pPr>
      <w:tabs>
        <w:tab w:val="clear" w:pos="8760"/>
        <w:tab w:val="left" w:pos="2948"/>
        <w:tab w:val="left" w:pos="5897"/>
      </w:tabs>
      <w:spacing w:after="120" w:line="200" w:lineRule="exact"/>
    </w:pPr>
    <w:rPr>
      <w:rFonts w:ascii="Lato" w:eastAsiaTheme="minorHAnsi" w:hAnsi="Lato"/>
      <w:b/>
      <w:color w:val="677F91"/>
      <w:sz w:val="16"/>
      <w:szCs w:val="15"/>
      <w:lang w:val="en-GB" w:eastAsia="en-US"/>
    </w:rPr>
  </w:style>
  <w:style w:type="character" w:customStyle="1" w:styleId="4PGFooterentityChar">
    <w:name w:val="4 PG Footer entity Char"/>
    <w:basedOn w:val="FooterChar"/>
    <w:link w:val="4PGFooterentity"/>
    <w:rsid w:val="003E7807"/>
    <w:rPr>
      <w:rFonts w:ascii="Lato" w:eastAsiaTheme="minorHAnsi" w:hAnsi="Lato"/>
      <w:b/>
      <w:color w:val="677F91"/>
      <w:sz w:val="16"/>
      <w:szCs w:val="15"/>
      <w:lang w:val="en-GB" w:eastAsia="en-US"/>
    </w:rPr>
  </w:style>
  <w:style w:type="paragraph" w:styleId="Revision">
    <w:name w:val="Revision"/>
    <w:hidden/>
    <w:uiPriority w:val="99"/>
    <w:semiHidden/>
    <w:rsid w:val="00A47546"/>
    <w:rPr>
      <w:rFonts w:ascii="Lato Light" w:hAnsi="Lato Light"/>
      <w:color w:val="000000"/>
      <w:sz w:val="22"/>
      <w:szCs w:val="24"/>
      <w:lang w:val="en-US"/>
    </w:rPr>
  </w:style>
  <w:style w:type="paragraph" w:styleId="FootnoteText">
    <w:name w:val="footnote text"/>
    <w:aliases w:val="PG Footnote Text"/>
    <w:basedOn w:val="Normal"/>
    <w:link w:val="FootnoteTextChar"/>
    <w:qFormat/>
    <w:rsid w:val="00481127"/>
    <w:pPr>
      <w:spacing w:after="0" w:line="240" w:lineRule="auto"/>
    </w:pPr>
    <w:rPr>
      <w:sz w:val="20"/>
      <w:szCs w:val="20"/>
    </w:rPr>
  </w:style>
  <w:style w:type="character" w:customStyle="1" w:styleId="FootnoteTextChar">
    <w:name w:val="Footnote Text Char"/>
    <w:aliases w:val="PG Footnote Text Char"/>
    <w:basedOn w:val="DefaultParagraphFont"/>
    <w:link w:val="FootnoteText"/>
    <w:rsid w:val="00481127"/>
    <w:rPr>
      <w:rFonts w:ascii="Lato Light" w:hAnsi="Lato Light"/>
      <w:color w:val="000000"/>
      <w:lang w:val="en-US"/>
    </w:rPr>
  </w:style>
  <w:style w:type="character" w:styleId="FootnoteReference">
    <w:name w:val="footnote reference"/>
    <w:basedOn w:val="DefaultParagraphFont"/>
    <w:rsid w:val="00481127"/>
    <w:rPr>
      <w:vertAlign w:val="superscript"/>
    </w:rPr>
  </w:style>
  <w:style w:type="paragraph" w:styleId="ListParagraph">
    <w:name w:val="List Paragraph"/>
    <w:aliases w:val="PG bullet bold lead - level 1,1 Bullet,Bullet List"/>
    <w:basedOn w:val="Normal"/>
    <w:link w:val="ListParagraphChar"/>
    <w:uiPriority w:val="34"/>
    <w:qFormat/>
    <w:rsid w:val="00F8033A"/>
    <w:pPr>
      <w:ind w:left="720"/>
      <w:contextualSpacing/>
    </w:pPr>
  </w:style>
  <w:style w:type="paragraph" w:customStyle="1" w:styleId="Bodycopy913">
    <w:name w:val="Body copy 9/13"/>
    <w:basedOn w:val="Normal"/>
    <w:uiPriority w:val="99"/>
    <w:rsid w:val="0018183A"/>
    <w:pPr>
      <w:suppressAutoHyphens/>
      <w:autoSpaceDE w:val="0"/>
      <w:autoSpaceDN w:val="0"/>
      <w:adjustRightInd w:val="0"/>
      <w:spacing w:after="113" w:line="260" w:lineRule="atLeast"/>
      <w:jc w:val="both"/>
      <w:textAlignment w:val="center"/>
    </w:pPr>
    <w:rPr>
      <w:rFonts w:ascii="Lato-Light" w:eastAsiaTheme="minorHAnsi" w:hAnsi="Lato-Light" w:cs="Lato-Light"/>
      <w:sz w:val="18"/>
      <w:szCs w:val="18"/>
      <w:lang w:eastAsia="en-US"/>
    </w:rPr>
  </w:style>
  <w:style w:type="character" w:customStyle="1" w:styleId="UnresolvedMention1">
    <w:name w:val="Unresolved Mention1"/>
    <w:basedOn w:val="DefaultParagraphFont"/>
    <w:uiPriority w:val="99"/>
    <w:semiHidden/>
    <w:unhideWhenUsed/>
    <w:rsid w:val="00DC1283"/>
    <w:rPr>
      <w:color w:val="605E5C"/>
      <w:shd w:val="clear" w:color="auto" w:fill="E1DFDD"/>
    </w:rPr>
  </w:style>
  <w:style w:type="character" w:styleId="FollowedHyperlink">
    <w:name w:val="FollowedHyperlink"/>
    <w:basedOn w:val="DefaultParagraphFont"/>
    <w:semiHidden/>
    <w:unhideWhenUsed/>
    <w:rsid w:val="00934970"/>
    <w:rPr>
      <w:color w:val="A20067" w:themeColor="followedHyperlink"/>
      <w:u w:val="single"/>
    </w:rPr>
  </w:style>
  <w:style w:type="character" w:customStyle="1" w:styleId="ListParagraphChar">
    <w:name w:val="List Paragraph Char"/>
    <w:aliases w:val="PG bullet bold lead - level 1 Char,1 Bullet Char,Bullet List Char"/>
    <w:basedOn w:val="DefaultParagraphFont"/>
    <w:link w:val="ListParagraph"/>
    <w:uiPriority w:val="34"/>
    <w:locked/>
    <w:rsid w:val="005441E0"/>
    <w:rPr>
      <w:rFonts w:ascii="Lato Light" w:hAnsi="Lato Light"/>
      <w:color w:val="000000"/>
      <w:sz w:val="21"/>
      <w:szCs w:val="24"/>
      <w:lang w:val="en-US"/>
    </w:rPr>
  </w:style>
  <w:style w:type="paragraph" w:customStyle="1" w:styleId="Body">
    <w:name w:val="Body"/>
    <w:aliases w:val="by,Text,26,Body1,Text1,b10pt,B,byA,by 14pt,by + After:  10 pt,Line spacing:  ...,Line spacing:  Multiple 1.2 li,Line spacing:  Multiple 1.2 li + Frutiger 55 Roman...,Line spacing:  Multiple 1.2 li + Frutiger 55 Roman,heading2,2,Title1,t1,newBo,b"/>
    <w:basedOn w:val="Normal"/>
    <w:qFormat/>
    <w:rsid w:val="009312B4"/>
    <w:pPr>
      <w:spacing w:after="140" w:line="288" w:lineRule="auto"/>
      <w:jc w:val="both"/>
    </w:pPr>
    <w:rPr>
      <w:rFonts w:ascii="Arial" w:hAnsi="Arial"/>
      <w:color w:val="auto"/>
      <w:kern w:val="20"/>
      <w:sz w:val="20"/>
      <w:lang w:val="en-GB" w:eastAsia="en-GB"/>
    </w:rPr>
  </w:style>
  <w:style w:type="paragraph" w:customStyle="1" w:styleId="paragraph">
    <w:name w:val="paragraph"/>
    <w:basedOn w:val="Normal"/>
    <w:rsid w:val="003E4FD9"/>
    <w:pPr>
      <w:spacing w:before="100" w:beforeAutospacing="1" w:after="100" w:afterAutospacing="1" w:line="240" w:lineRule="auto"/>
    </w:pPr>
    <w:rPr>
      <w:rFonts w:ascii="Times New Roman" w:hAnsi="Times New Roman"/>
      <w:color w:val="auto"/>
      <w:sz w:val="24"/>
      <w:lang w:eastAsia="en-US"/>
    </w:rPr>
  </w:style>
  <w:style w:type="character" w:customStyle="1" w:styleId="normaltextrun">
    <w:name w:val="normaltextrun"/>
    <w:basedOn w:val="DefaultParagraphFont"/>
    <w:rsid w:val="003E4FD9"/>
  </w:style>
  <w:style w:type="character" w:customStyle="1" w:styleId="eop">
    <w:name w:val="eop"/>
    <w:basedOn w:val="DefaultParagraphFont"/>
    <w:rsid w:val="003E4FD9"/>
  </w:style>
  <w:style w:type="paragraph" w:customStyle="1" w:styleId="Body1">
    <w:name w:val="Body 1"/>
    <w:basedOn w:val="Normal"/>
    <w:link w:val="Body1Char"/>
    <w:rsid w:val="00585CEC"/>
    <w:pPr>
      <w:spacing w:after="0" w:line="240" w:lineRule="auto"/>
      <w:ind w:left="1440"/>
      <w:jc w:val="both"/>
    </w:pPr>
    <w:rPr>
      <w:rFonts w:ascii="Times New Roman" w:hAnsi="Times New Roman"/>
      <w:color w:val="auto"/>
      <w:sz w:val="22"/>
      <w:szCs w:val="20"/>
      <w:lang w:val="en-GB" w:eastAsia="en-US"/>
    </w:rPr>
  </w:style>
  <w:style w:type="character" w:customStyle="1" w:styleId="Body1Char">
    <w:name w:val="Body 1 Char"/>
    <w:link w:val="Body1"/>
    <w:rsid w:val="00585CEC"/>
    <w:rPr>
      <w:sz w:val="22"/>
      <w:lang w:val="en-GB" w:eastAsia="en-US"/>
    </w:rPr>
  </w:style>
  <w:style w:type="paragraph" w:styleId="BodyText">
    <w:name w:val="Body Text"/>
    <w:basedOn w:val="Normal"/>
    <w:link w:val="BodyTextChar"/>
    <w:rsid w:val="000429F9"/>
    <w:pPr>
      <w:spacing w:before="120" w:after="0" w:line="240" w:lineRule="atLeast"/>
      <w:jc w:val="both"/>
    </w:pPr>
    <w:rPr>
      <w:rFonts w:ascii="Credit Suisse Type Roman" w:eastAsia="MS PGothic" w:hAnsi="Credit Suisse Type Roman"/>
      <w:color w:val="auto"/>
      <w:sz w:val="20"/>
      <w:lang w:val="en-GB" w:eastAsia="zh-TW"/>
    </w:rPr>
  </w:style>
  <w:style w:type="character" w:customStyle="1" w:styleId="BodyTextChar">
    <w:name w:val="Body Text Char"/>
    <w:basedOn w:val="DefaultParagraphFont"/>
    <w:link w:val="BodyText"/>
    <w:rsid w:val="000429F9"/>
    <w:rPr>
      <w:rFonts w:ascii="Credit Suisse Type Roman" w:eastAsia="MS PGothic" w:hAnsi="Credit Suisse Type Roman"/>
      <w:szCs w:val="24"/>
      <w:lang w:val="en-GB" w:eastAsia="zh-TW"/>
    </w:rPr>
  </w:style>
  <w:style w:type="character" w:styleId="UnresolvedMention">
    <w:name w:val="Unresolved Mention"/>
    <w:basedOn w:val="DefaultParagraphFont"/>
    <w:uiPriority w:val="99"/>
    <w:semiHidden/>
    <w:unhideWhenUsed/>
    <w:rsid w:val="00FD7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81">
      <w:bodyDiv w:val="1"/>
      <w:marLeft w:val="0"/>
      <w:marRight w:val="0"/>
      <w:marTop w:val="0"/>
      <w:marBottom w:val="0"/>
      <w:divBdr>
        <w:top w:val="none" w:sz="0" w:space="0" w:color="auto"/>
        <w:left w:val="none" w:sz="0" w:space="0" w:color="auto"/>
        <w:bottom w:val="none" w:sz="0" w:space="0" w:color="auto"/>
        <w:right w:val="none" w:sz="0" w:space="0" w:color="auto"/>
      </w:divBdr>
    </w:div>
    <w:div w:id="47077102">
      <w:bodyDiv w:val="1"/>
      <w:marLeft w:val="0"/>
      <w:marRight w:val="0"/>
      <w:marTop w:val="0"/>
      <w:marBottom w:val="0"/>
      <w:divBdr>
        <w:top w:val="none" w:sz="0" w:space="0" w:color="auto"/>
        <w:left w:val="none" w:sz="0" w:space="0" w:color="auto"/>
        <w:bottom w:val="none" w:sz="0" w:space="0" w:color="auto"/>
        <w:right w:val="none" w:sz="0" w:space="0" w:color="auto"/>
      </w:divBdr>
    </w:div>
    <w:div w:id="64884636">
      <w:bodyDiv w:val="1"/>
      <w:marLeft w:val="0"/>
      <w:marRight w:val="0"/>
      <w:marTop w:val="0"/>
      <w:marBottom w:val="0"/>
      <w:divBdr>
        <w:top w:val="none" w:sz="0" w:space="0" w:color="auto"/>
        <w:left w:val="none" w:sz="0" w:space="0" w:color="auto"/>
        <w:bottom w:val="none" w:sz="0" w:space="0" w:color="auto"/>
        <w:right w:val="none" w:sz="0" w:space="0" w:color="auto"/>
      </w:divBdr>
    </w:div>
    <w:div w:id="100226677">
      <w:bodyDiv w:val="1"/>
      <w:marLeft w:val="0"/>
      <w:marRight w:val="0"/>
      <w:marTop w:val="0"/>
      <w:marBottom w:val="0"/>
      <w:divBdr>
        <w:top w:val="none" w:sz="0" w:space="0" w:color="auto"/>
        <w:left w:val="none" w:sz="0" w:space="0" w:color="auto"/>
        <w:bottom w:val="none" w:sz="0" w:space="0" w:color="auto"/>
        <w:right w:val="none" w:sz="0" w:space="0" w:color="auto"/>
      </w:divBdr>
    </w:div>
    <w:div w:id="109784030">
      <w:bodyDiv w:val="1"/>
      <w:marLeft w:val="0"/>
      <w:marRight w:val="0"/>
      <w:marTop w:val="0"/>
      <w:marBottom w:val="0"/>
      <w:divBdr>
        <w:top w:val="none" w:sz="0" w:space="0" w:color="auto"/>
        <w:left w:val="none" w:sz="0" w:space="0" w:color="auto"/>
        <w:bottom w:val="none" w:sz="0" w:space="0" w:color="auto"/>
        <w:right w:val="none" w:sz="0" w:space="0" w:color="auto"/>
      </w:divBdr>
    </w:div>
    <w:div w:id="166793777">
      <w:bodyDiv w:val="1"/>
      <w:marLeft w:val="0"/>
      <w:marRight w:val="0"/>
      <w:marTop w:val="0"/>
      <w:marBottom w:val="0"/>
      <w:divBdr>
        <w:top w:val="none" w:sz="0" w:space="0" w:color="auto"/>
        <w:left w:val="none" w:sz="0" w:space="0" w:color="auto"/>
        <w:bottom w:val="none" w:sz="0" w:space="0" w:color="auto"/>
        <w:right w:val="none" w:sz="0" w:space="0" w:color="auto"/>
      </w:divBdr>
      <w:divsChild>
        <w:div w:id="826436993">
          <w:marLeft w:val="0"/>
          <w:marRight w:val="0"/>
          <w:marTop w:val="0"/>
          <w:marBottom w:val="0"/>
          <w:divBdr>
            <w:top w:val="none" w:sz="0" w:space="0" w:color="auto"/>
            <w:left w:val="none" w:sz="0" w:space="0" w:color="auto"/>
            <w:bottom w:val="none" w:sz="0" w:space="0" w:color="auto"/>
            <w:right w:val="none" w:sz="0" w:space="0" w:color="auto"/>
          </w:divBdr>
        </w:div>
      </w:divsChild>
    </w:div>
    <w:div w:id="194200886">
      <w:bodyDiv w:val="1"/>
      <w:marLeft w:val="0"/>
      <w:marRight w:val="0"/>
      <w:marTop w:val="0"/>
      <w:marBottom w:val="0"/>
      <w:divBdr>
        <w:top w:val="none" w:sz="0" w:space="0" w:color="auto"/>
        <w:left w:val="none" w:sz="0" w:space="0" w:color="auto"/>
        <w:bottom w:val="none" w:sz="0" w:space="0" w:color="auto"/>
        <w:right w:val="none" w:sz="0" w:space="0" w:color="auto"/>
      </w:divBdr>
    </w:div>
    <w:div w:id="221526939">
      <w:bodyDiv w:val="1"/>
      <w:marLeft w:val="0"/>
      <w:marRight w:val="0"/>
      <w:marTop w:val="0"/>
      <w:marBottom w:val="0"/>
      <w:divBdr>
        <w:top w:val="none" w:sz="0" w:space="0" w:color="auto"/>
        <w:left w:val="none" w:sz="0" w:space="0" w:color="auto"/>
        <w:bottom w:val="none" w:sz="0" w:space="0" w:color="auto"/>
        <w:right w:val="none" w:sz="0" w:space="0" w:color="auto"/>
      </w:divBdr>
    </w:div>
    <w:div w:id="227032733">
      <w:bodyDiv w:val="1"/>
      <w:marLeft w:val="0"/>
      <w:marRight w:val="0"/>
      <w:marTop w:val="0"/>
      <w:marBottom w:val="0"/>
      <w:divBdr>
        <w:top w:val="none" w:sz="0" w:space="0" w:color="auto"/>
        <w:left w:val="none" w:sz="0" w:space="0" w:color="auto"/>
        <w:bottom w:val="none" w:sz="0" w:space="0" w:color="auto"/>
        <w:right w:val="none" w:sz="0" w:space="0" w:color="auto"/>
      </w:divBdr>
    </w:div>
    <w:div w:id="254753779">
      <w:bodyDiv w:val="1"/>
      <w:marLeft w:val="0"/>
      <w:marRight w:val="0"/>
      <w:marTop w:val="0"/>
      <w:marBottom w:val="0"/>
      <w:divBdr>
        <w:top w:val="none" w:sz="0" w:space="0" w:color="auto"/>
        <w:left w:val="none" w:sz="0" w:space="0" w:color="auto"/>
        <w:bottom w:val="none" w:sz="0" w:space="0" w:color="auto"/>
        <w:right w:val="none" w:sz="0" w:space="0" w:color="auto"/>
      </w:divBdr>
    </w:div>
    <w:div w:id="362563015">
      <w:bodyDiv w:val="1"/>
      <w:marLeft w:val="0"/>
      <w:marRight w:val="0"/>
      <w:marTop w:val="0"/>
      <w:marBottom w:val="0"/>
      <w:divBdr>
        <w:top w:val="none" w:sz="0" w:space="0" w:color="auto"/>
        <w:left w:val="none" w:sz="0" w:space="0" w:color="auto"/>
        <w:bottom w:val="none" w:sz="0" w:space="0" w:color="auto"/>
        <w:right w:val="none" w:sz="0" w:space="0" w:color="auto"/>
      </w:divBdr>
    </w:div>
    <w:div w:id="379977785">
      <w:bodyDiv w:val="1"/>
      <w:marLeft w:val="0"/>
      <w:marRight w:val="0"/>
      <w:marTop w:val="0"/>
      <w:marBottom w:val="0"/>
      <w:divBdr>
        <w:top w:val="none" w:sz="0" w:space="0" w:color="auto"/>
        <w:left w:val="none" w:sz="0" w:space="0" w:color="auto"/>
        <w:bottom w:val="none" w:sz="0" w:space="0" w:color="auto"/>
        <w:right w:val="none" w:sz="0" w:space="0" w:color="auto"/>
      </w:divBdr>
    </w:div>
    <w:div w:id="384064341">
      <w:bodyDiv w:val="1"/>
      <w:marLeft w:val="0"/>
      <w:marRight w:val="0"/>
      <w:marTop w:val="0"/>
      <w:marBottom w:val="0"/>
      <w:divBdr>
        <w:top w:val="none" w:sz="0" w:space="0" w:color="auto"/>
        <w:left w:val="none" w:sz="0" w:space="0" w:color="auto"/>
        <w:bottom w:val="none" w:sz="0" w:space="0" w:color="auto"/>
        <w:right w:val="none" w:sz="0" w:space="0" w:color="auto"/>
      </w:divBdr>
    </w:div>
    <w:div w:id="417097972">
      <w:bodyDiv w:val="1"/>
      <w:marLeft w:val="0"/>
      <w:marRight w:val="0"/>
      <w:marTop w:val="0"/>
      <w:marBottom w:val="0"/>
      <w:divBdr>
        <w:top w:val="none" w:sz="0" w:space="0" w:color="auto"/>
        <w:left w:val="none" w:sz="0" w:space="0" w:color="auto"/>
        <w:bottom w:val="none" w:sz="0" w:space="0" w:color="auto"/>
        <w:right w:val="none" w:sz="0" w:space="0" w:color="auto"/>
      </w:divBdr>
    </w:div>
    <w:div w:id="473988488">
      <w:bodyDiv w:val="1"/>
      <w:marLeft w:val="0"/>
      <w:marRight w:val="0"/>
      <w:marTop w:val="0"/>
      <w:marBottom w:val="0"/>
      <w:divBdr>
        <w:top w:val="none" w:sz="0" w:space="0" w:color="auto"/>
        <w:left w:val="none" w:sz="0" w:space="0" w:color="auto"/>
        <w:bottom w:val="none" w:sz="0" w:space="0" w:color="auto"/>
        <w:right w:val="none" w:sz="0" w:space="0" w:color="auto"/>
      </w:divBdr>
    </w:div>
    <w:div w:id="480780440">
      <w:bodyDiv w:val="1"/>
      <w:marLeft w:val="0"/>
      <w:marRight w:val="0"/>
      <w:marTop w:val="0"/>
      <w:marBottom w:val="0"/>
      <w:divBdr>
        <w:top w:val="none" w:sz="0" w:space="0" w:color="auto"/>
        <w:left w:val="none" w:sz="0" w:space="0" w:color="auto"/>
        <w:bottom w:val="none" w:sz="0" w:space="0" w:color="auto"/>
        <w:right w:val="none" w:sz="0" w:space="0" w:color="auto"/>
      </w:divBdr>
    </w:div>
    <w:div w:id="482040310">
      <w:bodyDiv w:val="1"/>
      <w:marLeft w:val="0"/>
      <w:marRight w:val="0"/>
      <w:marTop w:val="0"/>
      <w:marBottom w:val="0"/>
      <w:divBdr>
        <w:top w:val="none" w:sz="0" w:space="0" w:color="auto"/>
        <w:left w:val="none" w:sz="0" w:space="0" w:color="auto"/>
        <w:bottom w:val="none" w:sz="0" w:space="0" w:color="auto"/>
        <w:right w:val="none" w:sz="0" w:space="0" w:color="auto"/>
      </w:divBdr>
      <w:divsChild>
        <w:div w:id="562301391">
          <w:marLeft w:val="0"/>
          <w:marRight w:val="0"/>
          <w:marTop w:val="0"/>
          <w:marBottom w:val="0"/>
          <w:divBdr>
            <w:top w:val="none" w:sz="0" w:space="0" w:color="auto"/>
            <w:left w:val="none" w:sz="0" w:space="0" w:color="auto"/>
            <w:bottom w:val="none" w:sz="0" w:space="0" w:color="auto"/>
            <w:right w:val="none" w:sz="0" w:space="0" w:color="auto"/>
          </w:divBdr>
        </w:div>
        <w:div w:id="1236475456">
          <w:marLeft w:val="0"/>
          <w:marRight w:val="0"/>
          <w:marTop w:val="0"/>
          <w:marBottom w:val="0"/>
          <w:divBdr>
            <w:top w:val="none" w:sz="0" w:space="0" w:color="auto"/>
            <w:left w:val="none" w:sz="0" w:space="0" w:color="auto"/>
            <w:bottom w:val="none" w:sz="0" w:space="0" w:color="auto"/>
            <w:right w:val="none" w:sz="0" w:space="0" w:color="auto"/>
          </w:divBdr>
        </w:div>
      </w:divsChild>
    </w:div>
    <w:div w:id="593704137">
      <w:bodyDiv w:val="1"/>
      <w:marLeft w:val="0"/>
      <w:marRight w:val="0"/>
      <w:marTop w:val="0"/>
      <w:marBottom w:val="0"/>
      <w:divBdr>
        <w:top w:val="none" w:sz="0" w:space="0" w:color="auto"/>
        <w:left w:val="none" w:sz="0" w:space="0" w:color="auto"/>
        <w:bottom w:val="none" w:sz="0" w:space="0" w:color="auto"/>
        <w:right w:val="none" w:sz="0" w:space="0" w:color="auto"/>
      </w:divBdr>
    </w:div>
    <w:div w:id="686834292">
      <w:bodyDiv w:val="1"/>
      <w:marLeft w:val="0"/>
      <w:marRight w:val="0"/>
      <w:marTop w:val="0"/>
      <w:marBottom w:val="0"/>
      <w:divBdr>
        <w:top w:val="none" w:sz="0" w:space="0" w:color="auto"/>
        <w:left w:val="none" w:sz="0" w:space="0" w:color="auto"/>
        <w:bottom w:val="none" w:sz="0" w:space="0" w:color="auto"/>
        <w:right w:val="none" w:sz="0" w:space="0" w:color="auto"/>
      </w:divBdr>
    </w:div>
    <w:div w:id="688606154">
      <w:bodyDiv w:val="1"/>
      <w:marLeft w:val="0"/>
      <w:marRight w:val="0"/>
      <w:marTop w:val="0"/>
      <w:marBottom w:val="0"/>
      <w:divBdr>
        <w:top w:val="none" w:sz="0" w:space="0" w:color="auto"/>
        <w:left w:val="none" w:sz="0" w:space="0" w:color="auto"/>
        <w:bottom w:val="none" w:sz="0" w:space="0" w:color="auto"/>
        <w:right w:val="none" w:sz="0" w:space="0" w:color="auto"/>
      </w:divBdr>
    </w:div>
    <w:div w:id="707070132">
      <w:bodyDiv w:val="1"/>
      <w:marLeft w:val="0"/>
      <w:marRight w:val="0"/>
      <w:marTop w:val="0"/>
      <w:marBottom w:val="0"/>
      <w:divBdr>
        <w:top w:val="none" w:sz="0" w:space="0" w:color="auto"/>
        <w:left w:val="none" w:sz="0" w:space="0" w:color="auto"/>
        <w:bottom w:val="none" w:sz="0" w:space="0" w:color="auto"/>
        <w:right w:val="none" w:sz="0" w:space="0" w:color="auto"/>
      </w:divBdr>
    </w:div>
    <w:div w:id="733628549">
      <w:bodyDiv w:val="1"/>
      <w:marLeft w:val="0"/>
      <w:marRight w:val="0"/>
      <w:marTop w:val="0"/>
      <w:marBottom w:val="0"/>
      <w:divBdr>
        <w:top w:val="none" w:sz="0" w:space="0" w:color="auto"/>
        <w:left w:val="none" w:sz="0" w:space="0" w:color="auto"/>
        <w:bottom w:val="none" w:sz="0" w:space="0" w:color="auto"/>
        <w:right w:val="none" w:sz="0" w:space="0" w:color="auto"/>
      </w:divBdr>
    </w:div>
    <w:div w:id="832068590">
      <w:bodyDiv w:val="1"/>
      <w:marLeft w:val="0"/>
      <w:marRight w:val="0"/>
      <w:marTop w:val="0"/>
      <w:marBottom w:val="0"/>
      <w:divBdr>
        <w:top w:val="none" w:sz="0" w:space="0" w:color="auto"/>
        <w:left w:val="none" w:sz="0" w:space="0" w:color="auto"/>
        <w:bottom w:val="none" w:sz="0" w:space="0" w:color="auto"/>
        <w:right w:val="none" w:sz="0" w:space="0" w:color="auto"/>
      </w:divBdr>
    </w:div>
    <w:div w:id="1090466597">
      <w:bodyDiv w:val="1"/>
      <w:marLeft w:val="0"/>
      <w:marRight w:val="0"/>
      <w:marTop w:val="0"/>
      <w:marBottom w:val="0"/>
      <w:divBdr>
        <w:top w:val="none" w:sz="0" w:space="0" w:color="auto"/>
        <w:left w:val="none" w:sz="0" w:space="0" w:color="auto"/>
        <w:bottom w:val="none" w:sz="0" w:space="0" w:color="auto"/>
        <w:right w:val="none" w:sz="0" w:space="0" w:color="auto"/>
      </w:divBdr>
    </w:div>
    <w:div w:id="1257448260">
      <w:bodyDiv w:val="1"/>
      <w:marLeft w:val="0"/>
      <w:marRight w:val="0"/>
      <w:marTop w:val="0"/>
      <w:marBottom w:val="0"/>
      <w:divBdr>
        <w:top w:val="none" w:sz="0" w:space="0" w:color="auto"/>
        <w:left w:val="none" w:sz="0" w:space="0" w:color="auto"/>
        <w:bottom w:val="none" w:sz="0" w:space="0" w:color="auto"/>
        <w:right w:val="none" w:sz="0" w:space="0" w:color="auto"/>
      </w:divBdr>
      <w:divsChild>
        <w:div w:id="607470295">
          <w:marLeft w:val="346"/>
          <w:marRight w:val="0"/>
          <w:marTop w:val="240"/>
          <w:marBottom w:val="0"/>
          <w:divBdr>
            <w:top w:val="none" w:sz="0" w:space="0" w:color="auto"/>
            <w:left w:val="none" w:sz="0" w:space="0" w:color="auto"/>
            <w:bottom w:val="none" w:sz="0" w:space="0" w:color="auto"/>
            <w:right w:val="none" w:sz="0" w:space="0" w:color="auto"/>
          </w:divBdr>
        </w:div>
        <w:div w:id="1711954020">
          <w:marLeft w:val="346"/>
          <w:marRight w:val="0"/>
          <w:marTop w:val="240"/>
          <w:marBottom w:val="0"/>
          <w:divBdr>
            <w:top w:val="none" w:sz="0" w:space="0" w:color="auto"/>
            <w:left w:val="none" w:sz="0" w:space="0" w:color="auto"/>
            <w:bottom w:val="none" w:sz="0" w:space="0" w:color="auto"/>
            <w:right w:val="none" w:sz="0" w:space="0" w:color="auto"/>
          </w:divBdr>
        </w:div>
        <w:div w:id="2047439026">
          <w:marLeft w:val="346"/>
          <w:marRight w:val="0"/>
          <w:marTop w:val="240"/>
          <w:marBottom w:val="0"/>
          <w:divBdr>
            <w:top w:val="none" w:sz="0" w:space="0" w:color="auto"/>
            <w:left w:val="none" w:sz="0" w:space="0" w:color="auto"/>
            <w:bottom w:val="none" w:sz="0" w:space="0" w:color="auto"/>
            <w:right w:val="none" w:sz="0" w:space="0" w:color="auto"/>
          </w:divBdr>
        </w:div>
      </w:divsChild>
    </w:div>
    <w:div w:id="1259406606">
      <w:bodyDiv w:val="1"/>
      <w:marLeft w:val="0"/>
      <w:marRight w:val="0"/>
      <w:marTop w:val="0"/>
      <w:marBottom w:val="0"/>
      <w:divBdr>
        <w:top w:val="none" w:sz="0" w:space="0" w:color="auto"/>
        <w:left w:val="none" w:sz="0" w:space="0" w:color="auto"/>
        <w:bottom w:val="none" w:sz="0" w:space="0" w:color="auto"/>
        <w:right w:val="none" w:sz="0" w:space="0" w:color="auto"/>
      </w:divBdr>
    </w:div>
    <w:div w:id="1320887264">
      <w:bodyDiv w:val="1"/>
      <w:marLeft w:val="0"/>
      <w:marRight w:val="0"/>
      <w:marTop w:val="0"/>
      <w:marBottom w:val="0"/>
      <w:divBdr>
        <w:top w:val="none" w:sz="0" w:space="0" w:color="auto"/>
        <w:left w:val="none" w:sz="0" w:space="0" w:color="auto"/>
        <w:bottom w:val="none" w:sz="0" w:space="0" w:color="auto"/>
        <w:right w:val="none" w:sz="0" w:space="0" w:color="auto"/>
      </w:divBdr>
    </w:div>
    <w:div w:id="1381517255">
      <w:bodyDiv w:val="1"/>
      <w:marLeft w:val="0"/>
      <w:marRight w:val="0"/>
      <w:marTop w:val="0"/>
      <w:marBottom w:val="0"/>
      <w:divBdr>
        <w:top w:val="none" w:sz="0" w:space="0" w:color="auto"/>
        <w:left w:val="none" w:sz="0" w:space="0" w:color="auto"/>
        <w:bottom w:val="none" w:sz="0" w:space="0" w:color="auto"/>
        <w:right w:val="none" w:sz="0" w:space="0" w:color="auto"/>
      </w:divBdr>
    </w:div>
    <w:div w:id="1389301097">
      <w:bodyDiv w:val="1"/>
      <w:marLeft w:val="0"/>
      <w:marRight w:val="0"/>
      <w:marTop w:val="0"/>
      <w:marBottom w:val="0"/>
      <w:divBdr>
        <w:top w:val="none" w:sz="0" w:space="0" w:color="auto"/>
        <w:left w:val="none" w:sz="0" w:space="0" w:color="auto"/>
        <w:bottom w:val="none" w:sz="0" w:space="0" w:color="auto"/>
        <w:right w:val="none" w:sz="0" w:space="0" w:color="auto"/>
      </w:divBdr>
    </w:div>
    <w:div w:id="1480876814">
      <w:bodyDiv w:val="1"/>
      <w:marLeft w:val="0"/>
      <w:marRight w:val="0"/>
      <w:marTop w:val="0"/>
      <w:marBottom w:val="0"/>
      <w:divBdr>
        <w:top w:val="none" w:sz="0" w:space="0" w:color="auto"/>
        <w:left w:val="none" w:sz="0" w:space="0" w:color="auto"/>
        <w:bottom w:val="none" w:sz="0" w:space="0" w:color="auto"/>
        <w:right w:val="none" w:sz="0" w:space="0" w:color="auto"/>
      </w:divBdr>
      <w:divsChild>
        <w:div w:id="412163540">
          <w:marLeft w:val="346"/>
          <w:marRight w:val="0"/>
          <w:marTop w:val="240"/>
          <w:marBottom w:val="0"/>
          <w:divBdr>
            <w:top w:val="none" w:sz="0" w:space="0" w:color="auto"/>
            <w:left w:val="none" w:sz="0" w:space="0" w:color="auto"/>
            <w:bottom w:val="none" w:sz="0" w:space="0" w:color="auto"/>
            <w:right w:val="none" w:sz="0" w:space="0" w:color="auto"/>
          </w:divBdr>
        </w:div>
        <w:div w:id="1417508090">
          <w:marLeft w:val="346"/>
          <w:marRight w:val="0"/>
          <w:marTop w:val="240"/>
          <w:marBottom w:val="0"/>
          <w:divBdr>
            <w:top w:val="none" w:sz="0" w:space="0" w:color="auto"/>
            <w:left w:val="none" w:sz="0" w:space="0" w:color="auto"/>
            <w:bottom w:val="none" w:sz="0" w:space="0" w:color="auto"/>
            <w:right w:val="none" w:sz="0" w:space="0" w:color="auto"/>
          </w:divBdr>
        </w:div>
      </w:divsChild>
    </w:div>
    <w:div w:id="1487093642">
      <w:bodyDiv w:val="1"/>
      <w:marLeft w:val="0"/>
      <w:marRight w:val="0"/>
      <w:marTop w:val="0"/>
      <w:marBottom w:val="0"/>
      <w:divBdr>
        <w:top w:val="none" w:sz="0" w:space="0" w:color="auto"/>
        <w:left w:val="none" w:sz="0" w:space="0" w:color="auto"/>
        <w:bottom w:val="none" w:sz="0" w:space="0" w:color="auto"/>
        <w:right w:val="none" w:sz="0" w:space="0" w:color="auto"/>
      </w:divBdr>
    </w:div>
    <w:div w:id="1721662169">
      <w:bodyDiv w:val="1"/>
      <w:marLeft w:val="0"/>
      <w:marRight w:val="0"/>
      <w:marTop w:val="0"/>
      <w:marBottom w:val="0"/>
      <w:divBdr>
        <w:top w:val="none" w:sz="0" w:space="0" w:color="auto"/>
        <w:left w:val="none" w:sz="0" w:space="0" w:color="auto"/>
        <w:bottom w:val="none" w:sz="0" w:space="0" w:color="auto"/>
        <w:right w:val="none" w:sz="0" w:space="0" w:color="auto"/>
      </w:divBdr>
    </w:div>
    <w:div w:id="1786657353">
      <w:bodyDiv w:val="1"/>
      <w:marLeft w:val="0"/>
      <w:marRight w:val="0"/>
      <w:marTop w:val="0"/>
      <w:marBottom w:val="0"/>
      <w:divBdr>
        <w:top w:val="none" w:sz="0" w:space="0" w:color="auto"/>
        <w:left w:val="none" w:sz="0" w:space="0" w:color="auto"/>
        <w:bottom w:val="none" w:sz="0" w:space="0" w:color="auto"/>
        <w:right w:val="none" w:sz="0" w:space="0" w:color="auto"/>
      </w:divBdr>
      <w:divsChild>
        <w:div w:id="133641559">
          <w:marLeft w:val="346"/>
          <w:marRight w:val="0"/>
          <w:marTop w:val="240"/>
          <w:marBottom w:val="0"/>
          <w:divBdr>
            <w:top w:val="none" w:sz="0" w:space="0" w:color="auto"/>
            <w:left w:val="none" w:sz="0" w:space="0" w:color="auto"/>
            <w:bottom w:val="none" w:sz="0" w:space="0" w:color="auto"/>
            <w:right w:val="none" w:sz="0" w:space="0" w:color="auto"/>
          </w:divBdr>
        </w:div>
      </w:divsChild>
    </w:div>
    <w:div w:id="1796873168">
      <w:bodyDiv w:val="1"/>
      <w:marLeft w:val="0"/>
      <w:marRight w:val="0"/>
      <w:marTop w:val="0"/>
      <w:marBottom w:val="0"/>
      <w:divBdr>
        <w:top w:val="none" w:sz="0" w:space="0" w:color="auto"/>
        <w:left w:val="none" w:sz="0" w:space="0" w:color="auto"/>
        <w:bottom w:val="none" w:sz="0" w:space="0" w:color="auto"/>
        <w:right w:val="none" w:sz="0" w:space="0" w:color="auto"/>
      </w:divBdr>
    </w:div>
    <w:div w:id="1868717651">
      <w:bodyDiv w:val="1"/>
      <w:marLeft w:val="0"/>
      <w:marRight w:val="0"/>
      <w:marTop w:val="0"/>
      <w:marBottom w:val="0"/>
      <w:divBdr>
        <w:top w:val="none" w:sz="0" w:space="0" w:color="auto"/>
        <w:left w:val="none" w:sz="0" w:space="0" w:color="auto"/>
        <w:bottom w:val="none" w:sz="0" w:space="0" w:color="auto"/>
        <w:right w:val="none" w:sz="0" w:space="0" w:color="auto"/>
      </w:divBdr>
      <w:divsChild>
        <w:div w:id="256909329">
          <w:marLeft w:val="706"/>
          <w:marRight w:val="0"/>
          <w:marTop w:val="280"/>
          <w:marBottom w:val="0"/>
          <w:divBdr>
            <w:top w:val="none" w:sz="0" w:space="0" w:color="auto"/>
            <w:left w:val="none" w:sz="0" w:space="0" w:color="auto"/>
            <w:bottom w:val="none" w:sz="0" w:space="0" w:color="auto"/>
            <w:right w:val="none" w:sz="0" w:space="0" w:color="auto"/>
          </w:divBdr>
        </w:div>
        <w:div w:id="1764182748">
          <w:marLeft w:val="706"/>
          <w:marRight w:val="0"/>
          <w:marTop w:val="280"/>
          <w:marBottom w:val="0"/>
          <w:divBdr>
            <w:top w:val="none" w:sz="0" w:space="0" w:color="auto"/>
            <w:left w:val="none" w:sz="0" w:space="0" w:color="auto"/>
            <w:bottom w:val="none" w:sz="0" w:space="0" w:color="auto"/>
            <w:right w:val="none" w:sz="0" w:space="0" w:color="auto"/>
          </w:divBdr>
        </w:div>
      </w:divsChild>
    </w:div>
    <w:div w:id="1946301056">
      <w:bodyDiv w:val="1"/>
      <w:marLeft w:val="0"/>
      <w:marRight w:val="0"/>
      <w:marTop w:val="0"/>
      <w:marBottom w:val="0"/>
      <w:divBdr>
        <w:top w:val="none" w:sz="0" w:space="0" w:color="auto"/>
        <w:left w:val="none" w:sz="0" w:space="0" w:color="auto"/>
        <w:bottom w:val="none" w:sz="0" w:space="0" w:color="auto"/>
        <w:right w:val="none" w:sz="0" w:space="0" w:color="auto"/>
      </w:divBdr>
    </w:div>
    <w:div w:id="2046710879">
      <w:bodyDiv w:val="1"/>
      <w:marLeft w:val="0"/>
      <w:marRight w:val="0"/>
      <w:marTop w:val="0"/>
      <w:marBottom w:val="0"/>
      <w:divBdr>
        <w:top w:val="none" w:sz="0" w:space="0" w:color="auto"/>
        <w:left w:val="none" w:sz="0" w:space="0" w:color="auto"/>
        <w:bottom w:val="none" w:sz="0" w:space="0" w:color="auto"/>
        <w:right w:val="none" w:sz="0" w:space="0" w:color="auto"/>
      </w:divBdr>
    </w:div>
    <w:div w:id="2069375023">
      <w:bodyDiv w:val="1"/>
      <w:marLeft w:val="0"/>
      <w:marRight w:val="0"/>
      <w:marTop w:val="0"/>
      <w:marBottom w:val="0"/>
      <w:divBdr>
        <w:top w:val="none" w:sz="0" w:space="0" w:color="auto"/>
        <w:left w:val="none" w:sz="0" w:space="0" w:color="auto"/>
        <w:bottom w:val="none" w:sz="0" w:space="0" w:color="auto"/>
        <w:right w:val="none" w:sz="0" w:space="0" w:color="auto"/>
      </w:divBdr>
      <w:divsChild>
        <w:div w:id="790054606">
          <w:marLeft w:val="0"/>
          <w:marRight w:val="0"/>
          <w:marTop w:val="0"/>
          <w:marBottom w:val="0"/>
          <w:divBdr>
            <w:top w:val="none" w:sz="0" w:space="0" w:color="auto"/>
            <w:left w:val="none" w:sz="0" w:space="0" w:color="auto"/>
            <w:bottom w:val="none" w:sz="0" w:space="0" w:color="auto"/>
            <w:right w:val="none" w:sz="0" w:space="0" w:color="auto"/>
          </w:divBdr>
        </w:div>
      </w:divsChild>
    </w:div>
    <w:div w:id="2095474991">
      <w:bodyDiv w:val="1"/>
      <w:marLeft w:val="0"/>
      <w:marRight w:val="0"/>
      <w:marTop w:val="0"/>
      <w:marBottom w:val="0"/>
      <w:divBdr>
        <w:top w:val="none" w:sz="0" w:space="0" w:color="auto"/>
        <w:left w:val="none" w:sz="0" w:space="0" w:color="auto"/>
        <w:bottom w:val="none" w:sz="0" w:space="0" w:color="auto"/>
        <w:right w:val="none" w:sz="0" w:space="0" w:color="auto"/>
      </w:divBdr>
    </w:div>
    <w:div w:id="211959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hegiin.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lueearth.capital/impact-sustainability/"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www.impactmanagementproject.com" TargetMode="External"/><Relationship Id="rId3" Type="http://schemas.openxmlformats.org/officeDocument/2006/relationships/hyperlink" Target="http://www.impactmanagementproject.com" TargetMode="External"/><Relationship Id="rId7" Type="http://schemas.openxmlformats.org/officeDocument/2006/relationships/hyperlink" Target="http://www.impactmanagementproject.com" TargetMode="External"/><Relationship Id="rId2" Type="http://schemas.openxmlformats.org/officeDocument/2006/relationships/hyperlink" Target="http://www.impactmanagementproject.com" TargetMode="External"/><Relationship Id="rId1" Type="http://schemas.openxmlformats.org/officeDocument/2006/relationships/hyperlink" Target="http://www.impactmanagementproject.com" TargetMode="External"/><Relationship Id="rId6" Type="http://schemas.openxmlformats.org/officeDocument/2006/relationships/hyperlink" Target="http://www.impactmanagementproject.com" TargetMode="External"/><Relationship Id="rId5" Type="http://schemas.openxmlformats.org/officeDocument/2006/relationships/hyperlink" Target="http://www.impactmanagementproject.com" TargetMode="External"/><Relationship Id="rId4" Type="http://schemas.openxmlformats.org/officeDocument/2006/relationships/hyperlink" Target="http://www.impactmanagementproject.com" TargetMode="External"/><Relationship Id="rId9" Type="http://schemas.openxmlformats.org/officeDocument/2006/relationships/hyperlink" Target="http://www.impactmanagementproject.com" TargetMode="External"/></Relationships>
</file>

<file path=word/theme/theme1.xml><?xml version="1.0" encoding="utf-8"?>
<a:theme xmlns:a="http://schemas.openxmlformats.org/drawingml/2006/main" name="Office Theme">
  <a:themeElements>
    <a:clrScheme name="Vicinity">
      <a:dk1>
        <a:srgbClr val="000000"/>
      </a:dk1>
      <a:lt1>
        <a:sysClr val="window" lastClr="FFFFFF"/>
      </a:lt1>
      <a:dk2>
        <a:srgbClr val="000000"/>
      </a:dk2>
      <a:lt2>
        <a:srgbClr val="B58150"/>
      </a:lt2>
      <a:accent1>
        <a:srgbClr val="B58150"/>
      </a:accent1>
      <a:accent2>
        <a:srgbClr val="9BB8D3"/>
      </a:accent2>
      <a:accent3>
        <a:srgbClr val="A20067"/>
      </a:accent3>
      <a:accent4>
        <a:srgbClr val="BABC16"/>
      </a:accent4>
      <a:accent5>
        <a:srgbClr val="E35205"/>
      </a:accent5>
      <a:accent6>
        <a:srgbClr val="E68699"/>
      </a:accent6>
      <a:hlink>
        <a:srgbClr val="9BB8D3"/>
      </a:hlink>
      <a:folHlink>
        <a:srgbClr val="A20067"/>
      </a:folHlink>
    </a:clrScheme>
    <a:fontScheme name="Vicinity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Custom Color 1">
      <a:srgbClr val="C0BB87"/>
    </a:custClr>
    <a:custClr name="Custom Color 2">
      <a:srgbClr val="6BBBAE"/>
    </a:custClr>
    <a:custClr name="Custom Color 3">
      <a:srgbClr val="829995"/>
    </a:custClr>
    <a:custClr name="Custom Color 4">
      <a:srgbClr val="C3C6A8"/>
    </a:custClr>
    <a:custClr name="Custom Color 5">
      <a:srgbClr val="57554F"/>
    </a:custClr>
    <a:custClr name="Custom Color 6">
      <a:srgbClr val="EED484"/>
    </a:custClr>
    <a:custClr name="Custom Color 7">
      <a:srgbClr val="DAD9D3"/>
    </a:custClr>
    <a:custClr name="Custom Color 8">
      <a:srgbClr val="EDECE5"/>
    </a:custClr>
    <a:custClr name="Custom Color 9">
      <a:srgbClr val="9EA2A2"/>
    </a:custClr>
    <a:custClr name="Custom Color 10">
      <a:srgbClr val="7A6855"/>
    </a:custClr>
    <a:custClr name="Custom Color 11">
      <a:srgbClr val="732E4A"/>
    </a:custClr>
    <a:custClr name="Custom Color 15">
      <a:srgbClr val="4F2C1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21578C2FC26D43848B8C48A63BC920" ma:contentTypeVersion="11" ma:contentTypeDescription="Create a new document." ma:contentTypeScope="" ma:versionID="2715944a35389f7650b749a8518063ed">
  <xsd:schema xmlns:xsd="http://www.w3.org/2001/XMLSchema" xmlns:xs="http://www.w3.org/2001/XMLSchema" xmlns:p="http://schemas.microsoft.com/office/2006/metadata/properties" xmlns:ns3="25f3fea4-ee73-497c-a05a-c633800c1042" targetNamespace="http://schemas.microsoft.com/office/2006/metadata/properties" ma:root="true" ma:fieldsID="cb52ea3e221f4fc83572b2f7bda9f490" ns3:_="">
    <xsd:import namespace="25f3fea4-ee73-497c-a05a-c633800c10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f3fea4-ee73-497c-a05a-c633800c10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341A3E-5829-46BE-A413-E5F56FD3C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f3fea4-ee73-497c-a05a-c633800c1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6DC48B-25AA-4C81-8B8A-9CF51E2C6D11}">
  <ds:schemaRefs>
    <ds:schemaRef ds:uri="http://schemas.openxmlformats.org/officeDocument/2006/bibliography"/>
  </ds:schemaRefs>
</ds:datastoreItem>
</file>

<file path=customXml/itemProps3.xml><?xml version="1.0" encoding="utf-8"?>
<ds:datastoreItem xmlns:ds="http://schemas.openxmlformats.org/officeDocument/2006/customXml" ds:itemID="{F304DFBA-58A8-43B0-9403-F157574D35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AB84F4-7586-41AD-912A-7EAC5D578E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8843</Words>
  <Characters>56495</Characters>
  <Application>Microsoft Office Word</Application>
  <DocSecurity>0</DocSecurity>
  <Lines>470</Lines>
  <Paragraphs>130</Paragraphs>
  <ScaleCrop>false</ScaleCrop>
  <HeadingPairs>
    <vt:vector size="2" baseType="variant">
      <vt:variant>
        <vt:lpstr>Title</vt:lpstr>
      </vt:variant>
      <vt:variant>
        <vt:i4>1</vt:i4>
      </vt:variant>
    </vt:vector>
  </HeadingPairs>
  <TitlesOfParts>
    <vt:vector size="1" baseType="lpstr">
      <vt:lpstr>210215_Partners Group website disclosure_TEMPLATE DRAFT PG DRAFT compared with Partners Group website disclosure_UPDATED TEMPLATE_24.02.2021</vt:lpstr>
    </vt:vector>
  </TitlesOfParts>
  <Company>Partners Group</Company>
  <LinksUpToDate>false</LinksUpToDate>
  <CharactersWithSpaces>65208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210215_Partners Group website disclosure_TEMPLATE DRAFT PG DRAFT compared with Partners Group website disclosure_UPDATED TEMPLATE_24.02.2021</dc:title>
  <dc:subject>Press release</dc:subject>
  <dc:creator>Milevka Grceva</dc:creator>
  <cp:keywords>
  </cp:keywords>
  <dc:description>
  </dc:description>
  <cp:lastModifiedBy>Christina Mueller</cp:lastModifiedBy>
  <cp:revision>5</cp:revision>
  <cp:lastPrinted>2022-08-25T17:25:00Z</cp:lastPrinted>
  <dcterms:created xsi:type="dcterms:W3CDTF">2022-12-29T20:37:00Z</dcterms:created>
  <dcterms:modified xsi:type="dcterms:W3CDTF">2022-12-29T21:50:00Z</dcterms:modified>
  <cp:category>Letter - Baar Zug Baar Zug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comparedocs">
    <vt:lpwstr>4.3.301.4 _tc</vt:lpwstr>
  </property>
  <property fmtid="{D5CDD505-2E9C-101B-9397-08002B2CF9AE}" pid="3" name="/bp_dc_orgversion">
    <vt:lpwstr>C\5ucTA:yD1_opslAERF\ve2Pr ioL DT:Uas0aGwdsPD .*spk1r e uMRGd*ect2tsberEAPo*r\o\nrsteTF c!spei_Tx</vt:lpwstr>
  </property>
  <property fmtid="{D5CDD505-2E9C-101B-9397-08002B2CF9AE}" pid="4" name="/bp_dc_filepath">
    <vt:lpwstr>C\\\rDnseFP oT.:yAlTppae\Ctebir_AT apwls E22\vpaerdpDt rretuTR vruecuDM00Uapcmofmou2aswesEDP tobsrEP.2spDopCDocp1P   oM GTnrsieTL41ecaL\socst0_GpdlPE FeGid_AA2.xr\t\Dcc \u25ruicLTDAr t UDT_dcsaosO1osARsePEo</vt:lpwstr>
  </property>
  <property fmtid="{D5CDD505-2E9C-101B-9397-08002B2CF9AE}" pid="5" name="/bp_dc_modversion">
    <vt:lpwstr>C\ei_A.:yDnrsteULT1d\vetsberPPE2oUasr e uDM_0cspkaGwdsAE22xectPr ioTT4.!:r\o\opslE .2**spucD0*</vt:lpwstr>
  </property>
  <property fmtid="{D5CDD505-2E9C-101B-9397-08002B2CF9AE}" pid="6" name="Client Code">
    <vt:lpwstr>10696265</vt:lpwstr>
  </property>
  <property fmtid="{D5CDD505-2E9C-101B-9397-08002B2CF9AE}" pid="7" name="DEDocumentLocation">
    <vt:lpwstr>C:\Users\jbeaufil\AppData\Local\Linklaters\DocExplorer\Attachments\Blue Earth CGF Website disclosure 220410.docx</vt:lpwstr>
  </property>
  <property fmtid="{D5CDD505-2E9C-101B-9397-08002B2CF9AE}" pid="8" name="Document Number">
    <vt:lpwstr>A46978944</vt:lpwstr>
  </property>
  <property fmtid="{D5CDD505-2E9C-101B-9397-08002B2CF9AE}" pid="9" name="Last Modified">
    <vt:lpwstr>10 Apr 2022</vt:lpwstr>
  </property>
  <property fmtid="{D5CDD505-2E9C-101B-9397-08002B2CF9AE}" pid="10" name="Matter Number">
    <vt:lpwstr>L-312583</vt:lpwstr>
  </property>
  <property fmtid="{D5CDD505-2E9C-101B-9397-08002B2CF9AE}" pid="11" name="Mode">
    <vt:lpwstr>SendAs</vt:lpwstr>
  </property>
  <property fmtid="{D5CDD505-2E9C-101B-9397-08002B2CF9AE}" pid="12" name="Version">
    <vt:lpwstr>0.6</vt:lpwstr>
  </property>
  <property fmtid="{D5CDD505-2E9C-101B-9397-08002B2CF9AE}" pid="13" name="ContentTypeId">
    <vt:lpwstr>0x0101002921578C2FC26D43848B8C48A63BC920</vt:lpwstr>
  </property>
  <property fmtid="{D5CDD505-2E9C-101B-9397-08002B2CF9AE}" pid="14" name="ObjectID">
    <vt:lpwstr>09001dc89709a047</vt:lpwstr>
  </property>
  <property fmtid="{D5CDD505-2E9C-101B-9397-08002B2CF9AE}" pid="15" name="_MarkAsFinal">
    <vt:bool>false</vt:bool>
  </property>
</Properties>
</file>